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515A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Распоряжение Главы Республики Саха (Якутия) от 4 октября 2021 </w:t>
        </w:r>
        <w:r>
          <w:rPr>
            <w:rStyle w:val="a4"/>
            <w:b w:val="0"/>
            <w:bCs w:val="0"/>
          </w:rPr>
          <w:t>г. N 483-РГ "О плане противодействия коррупции в Республике Саха (Якутия) на 2021 - 2024 годы"</w:t>
        </w:r>
      </w:hyperlink>
    </w:p>
    <w:p w:rsidR="00000000" w:rsidRDefault="00FB515A"/>
    <w:p w:rsidR="00000000" w:rsidRDefault="00FB515A">
      <w:r>
        <w:t xml:space="preserve">В целях реализации </w:t>
      </w:r>
      <w:hyperlink r:id="rId8" w:history="1">
        <w:r>
          <w:rPr>
            <w:rStyle w:val="a4"/>
          </w:rPr>
          <w:t>подпункта "б" пункта 3</w:t>
        </w:r>
      </w:hyperlink>
      <w:r>
        <w:t xml:space="preserve"> Указа Президента Российской Федерации от 16 </w:t>
      </w:r>
      <w:r>
        <w:t>августа 2021 г. N 478 "О Национальном плане противодействия коррупции на 2021 - 2024 годы":</w:t>
      </w:r>
    </w:p>
    <w:p w:rsidR="00000000" w:rsidRDefault="00FB515A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план</w:t>
        </w:r>
      </w:hyperlink>
      <w:r>
        <w:t xml:space="preserve"> противодействия коррупции в Республике Саха (Якутия) на 2021 - 2024 годы.</w:t>
      </w:r>
    </w:p>
    <w:p w:rsidR="00000000" w:rsidRDefault="00FB515A">
      <w:bookmarkStart w:id="1" w:name="sub_2"/>
      <w:bookmarkEnd w:id="0"/>
      <w:r>
        <w:t>2. Исполнительным о</w:t>
      </w:r>
      <w:r>
        <w:t>рганам государственной власти Республики Саха (Якутия) и их подведомственным учреждениям до 1 ноября 2021 года внести в планы (программы) противодействия коррупции изменения, направленные на достижение конкретных результатов в работе по предупреждению корр</w:t>
      </w:r>
      <w:r>
        <w:t>упции, обеспечить контроль за выполнением мероприятий, предусмотренных этими планами (программами).</w:t>
      </w:r>
    </w:p>
    <w:p w:rsidR="00000000" w:rsidRDefault="00FB515A">
      <w:bookmarkStart w:id="2" w:name="sub_3"/>
      <w:bookmarkEnd w:id="1"/>
      <w:r>
        <w:t>3. Рекомендовать органам местного самоуправления Республики Саха (Якутия) до 1 ноября 2021 года внести в планы (программы) противодействия коррупции изменения, направленные на достижение конкретных результатов в работе по предупреждению коррупции, обеспечи</w:t>
      </w:r>
      <w:r>
        <w:t>ть контроль за выполнением мероприятий, предусмотренных этими планами (программами).</w:t>
      </w:r>
    </w:p>
    <w:p w:rsidR="00000000" w:rsidRDefault="00FB515A">
      <w:bookmarkStart w:id="3" w:name="sub_4"/>
      <w:bookmarkEnd w:id="2"/>
      <w:r>
        <w:t xml:space="preserve">4. Управлению при Главе Республики Саха (Якутия) по профилактике коррупционных и иных правонарушений (Сортоев И.А.) в установленные </w:t>
      </w:r>
      <w:hyperlink r:id="rId9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2021 - 2024 годы, утвержденным </w:t>
      </w:r>
      <w:hyperlink r:id="rId1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16 августа 2021 г. N</w:t>
      </w:r>
      <w:r>
        <w:t xml:space="preserve"> 478, сроки обеспечить обобщение информации, содержащейся в докладах, в соответствии с </w:t>
      </w:r>
      <w:hyperlink r:id="rId11" w:history="1">
        <w:r>
          <w:rPr>
            <w:rStyle w:val="a4"/>
          </w:rPr>
          <w:t>подпунктом "б" пункта 3</w:t>
        </w:r>
      </w:hyperlink>
      <w:r>
        <w:t xml:space="preserve"> Указа Президента Российской Федерации, </w:t>
      </w:r>
      <w:hyperlink w:anchor="sub_14" w:history="1">
        <w:r>
          <w:rPr>
            <w:rStyle w:val="a4"/>
          </w:rPr>
          <w:t>пунктами 1.4</w:t>
        </w:r>
      </w:hyperlink>
      <w:r>
        <w:t xml:space="preserve">, </w:t>
      </w:r>
      <w:hyperlink w:anchor="sub_17" w:history="1">
        <w:r>
          <w:rPr>
            <w:rStyle w:val="a4"/>
          </w:rPr>
          <w:t>1.7</w:t>
        </w:r>
      </w:hyperlink>
      <w:r>
        <w:t xml:space="preserve">, </w:t>
      </w:r>
      <w:hyperlink w:anchor="sub_34" w:history="1">
        <w:r>
          <w:rPr>
            <w:rStyle w:val="a4"/>
          </w:rPr>
          <w:t>3.4</w:t>
        </w:r>
      </w:hyperlink>
      <w:r>
        <w:t xml:space="preserve">, </w:t>
      </w:r>
      <w:hyperlink w:anchor="sub_44" w:history="1">
        <w:r>
          <w:rPr>
            <w:rStyle w:val="a4"/>
          </w:rPr>
          <w:t>4.4</w:t>
        </w:r>
      </w:hyperlink>
      <w:r>
        <w:t xml:space="preserve">, </w:t>
      </w:r>
      <w:hyperlink w:anchor="sub_45" w:history="1">
        <w:r>
          <w:rPr>
            <w:rStyle w:val="a4"/>
          </w:rPr>
          <w:t>4.5</w:t>
        </w:r>
      </w:hyperlink>
      <w:r>
        <w:t xml:space="preserve"> настоящего плана, и представить в Аппарат полномочного представителя Президента Российской Федерации в Дальневосточном федеральном округе </w:t>
      </w:r>
      <w:r>
        <w:t>сводные доклады.</w:t>
      </w:r>
    </w:p>
    <w:p w:rsidR="00000000" w:rsidRDefault="00FB515A">
      <w:bookmarkStart w:id="4" w:name="sub_5"/>
      <w:bookmarkEnd w:id="3"/>
      <w:r>
        <w:t>5. Признать утратившими силу распоряжения Главы Республики Саха (Якутия):</w:t>
      </w:r>
    </w:p>
    <w:bookmarkStart w:id="5" w:name="sub_1001"/>
    <w:bookmarkEnd w:id="4"/>
    <w:p w:rsidR="00000000" w:rsidRDefault="00FB515A">
      <w:r>
        <w:fldChar w:fldCharType="begin"/>
      </w:r>
      <w:r>
        <w:instrText>HYPERLINK "http://internet.garant.ru/document/redirect/48181206/0"</w:instrText>
      </w:r>
      <w:r>
        <w:fldChar w:fldCharType="separate"/>
      </w:r>
      <w:r>
        <w:rPr>
          <w:rStyle w:val="a4"/>
        </w:rPr>
        <w:t>от 18 сентября 2018 г. N 767-РГ</w:t>
      </w:r>
      <w:r>
        <w:fldChar w:fldCharType="end"/>
      </w:r>
      <w:r>
        <w:t xml:space="preserve"> "О Плане противодействия коррупции в Респ</w:t>
      </w:r>
      <w:r>
        <w:t>ублике Саха (Якутия) на 2018 - 2020 годы",</w:t>
      </w:r>
    </w:p>
    <w:bookmarkStart w:id="6" w:name="sub_1002"/>
    <w:bookmarkEnd w:id="5"/>
    <w:p w:rsidR="00000000" w:rsidRDefault="00FB515A">
      <w:r>
        <w:fldChar w:fldCharType="begin"/>
      </w:r>
      <w:r>
        <w:instrText>HYPERLINK "http://internet.garant.ru/document/redirect/48185792/0"</w:instrText>
      </w:r>
      <w:r>
        <w:fldChar w:fldCharType="separate"/>
      </w:r>
      <w:r>
        <w:rPr>
          <w:rStyle w:val="a4"/>
        </w:rPr>
        <w:t>от 24 декабря 2018 N 1074-РГ</w:t>
      </w:r>
      <w:r>
        <w:fldChar w:fldCharType="end"/>
      </w:r>
      <w:r>
        <w:t xml:space="preserve"> "О внесении изменений в распоряжение Главы Республики Саха (Якутия) от 18 сентября 2018 г. N 767-РГ</w:t>
      </w:r>
      <w:r>
        <w:t xml:space="preserve"> "О Плане противодействия коррупции в Республике Саха (Якутия) на 2018 - 2020 годы".</w:t>
      </w:r>
    </w:p>
    <w:p w:rsidR="00000000" w:rsidRDefault="00FB515A">
      <w:bookmarkStart w:id="7" w:name="sub_6"/>
      <w:bookmarkEnd w:id="6"/>
      <w:r>
        <w:t>6. Контроль исполнения настоящего распоряжения оставляю за собой.</w:t>
      </w:r>
    </w:p>
    <w:bookmarkEnd w:id="7"/>
    <w:p w:rsidR="00000000" w:rsidRDefault="00FB515A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B515A">
            <w:pPr>
              <w:pStyle w:val="a6"/>
            </w:pPr>
            <w:r>
              <w:t>Глава</w:t>
            </w:r>
            <w:r>
              <w:br/>
              <w:t>Республики Саха (Якутия)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B515A">
            <w:pPr>
              <w:pStyle w:val="a5"/>
              <w:jc w:val="right"/>
            </w:pPr>
            <w:r>
              <w:t>А. Николаев</w:t>
            </w:r>
          </w:p>
        </w:tc>
      </w:tr>
    </w:tbl>
    <w:p w:rsidR="00000000" w:rsidRDefault="00FB515A"/>
    <w:p w:rsidR="00000000" w:rsidRDefault="00FB515A">
      <w:pPr>
        <w:pStyle w:val="a6"/>
      </w:pPr>
      <w:r>
        <w:t>4 октября 2021 года</w:t>
      </w:r>
    </w:p>
    <w:p w:rsidR="00000000" w:rsidRDefault="00FB515A">
      <w:pPr>
        <w:pStyle w:val="a6"/>
      </w:pPr>
      <w:r>
        <w:t>N 483-РГ</w:t>
      </w:r>
    </w:p>
    <w:p w:rsidR="00000000" w:rsidRDefault="00FB515A"/>
    <w:p w:rsidR="00000000" w:rsidRDefault="00FB515A">
      <w:pPr>
        <w:ind w:firstLine="0"/>
        <w:jc w:val="left"/>
        <w:sectPr w:rsidR="00000000">
          <w:headerReference w:type="default" r:id="rId12"/>
          <w:footerReference w:type="default" r:id="rId13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FB515A">
      <w:pPr>
        <w:ind w:firstLine="0"/>
        <w:jc w:val="right"/>
      </w:pPr>
      <w:bookmarkStart w:id="8" w:name="sub_1000"/>
      <w:r>
        <w:rPr>
          <w:rStyle w:val="a3"/>
        </w:rPr>
        <w:lastRenderedPageBreak/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распоряжением</w:t>
        </w:r>
      </w:hyperlink>
      <w:r>
        <w:rPr>
          <w:rStyle w:val="a3"/>
        </w:rPr>
        <w:t xml:space="preserve"> Главы</w:t>
      </w:r>
      <w:r>
        <w:rPr>
          <w:rStyle w:val="a3"/>
        </w:rPr>
        <w:br/>
        <w:t>Республики Саха (Якутия)</w:t>
      </w:r>
      <w:r>
        <w:rPr>
          <w:rStyle w:val="a3"/>
        </w:rPr>
        <w:br/>
        <w:t>от 4 октября 2021 г. N 483-РГ</w:t>
      </w:r>
    </w:p>
    <w:bookmarkEnd w:id="8"/>
    <w:p w:rsidR="00000000" w:rsidRDefault="00FB515A"/>
    <w:p w:rsidR="00000000" w:rsidRDefault="00FB515A">
      <w:pPr>
        <w:pStyle w:val="1"/>
      </w:pPr>
      <w:r>
        <w:t>План</w:t>
      </w:r>
      <w:r>
        <w:br/>
        <w:t>противодействия коррупции в Республике Саха (Якутия) на 2021 -</w:t>
      </w:r>
      <w:r>
        <w:t> 2024 годы</w:t>
      </w:r>
    </w:p>
    <w:p w:rsidR="00000000" w:rsidRDefault="00FB515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040"/>
        <w:gridCol w:w="1820"/>
        <w:gridCol w:w="4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5"/>
              <w:jc w:val="center"/>
            </w:pPr>
            <w:r>
              <w:t>Мероприятие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5"/>
              <w:jc w:val="center"/>
            </w:pPr>
            <w:r>
              <w:t>Срок реализации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15A">
            <w:pPr>
              <w:pStyle w:val="a5"/>
              <w:jc w:val="center"/>
            </w:pPr>
            <w:r>
              <w:t>Ответственные исполнители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B515A">
            <w:pPr>
              <w:pStyle w:val="a5"/>
              <w:jc w:val="center"/>
            </w:pPr>
            <w:r>
              <w:t>Раздел 1. Совершенствование системы запретов, ограничений и требований, установленных в целях противодействия коррупции, правовых и организационных основ противодействия коррупции в Республике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5"/>
              <w:jc w:val="center"/>
            </w:pPr>
            <w:r>
              <w:t>1.1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 xml:space="preserve">Проанализировать практику применения </w:t>
            </w:r>
            <w:hyperlink r:id="rId14" w:history="1">
              <w:r>
                <w:rPr>
                  <w:rStyle w:val="a4"/>
                </w:rPr>
                <w:t>статьи 12</w:t>
              </w:r>
            </w:hyperlink>
            <w:r>
              <w:t xml:space="preserve"> Федерального закона "О противодействии коррупции" и представить предложения по совершенствованию правового регулирования в этой сфере, рассмотрев вопрос о возможности распространения </w:t>
            </w:r>
            <w:r>
              <w:t xml:space="preserve">ограничения, предусмотренного </w:t>
            </w:r>
            <w:hyperlink r:id="rId15" w:history="1">
              <w:r>
                <w:rPr>
                  <w:rStyle w:val="a4"/>
                </w:rPr>
                <w:t>пунктом 1</w:t>
              </w:r>
            </w:hyperlink>
            <w:r>
              <w:t xml:space="preserve"> указанной статьи:</w:t>
            </w:r>
          </w:p>
          <w:p w:rsidR="00000000" w:rsidRDefault="00FB515A">
            <w:pPr>
              <w:pStyle w:val="a6"/>
            </w:pPr>
            <w:r>
              <w:t>на лиц, замещавших государственные должности Республики Саха (Якутия);</w:t>
            </w:r>
          </w:p>
          <w:p w:rsidR="00000000" w:rsidRDefault="00FB515A">
            <w:pPr>
              <w:pStyle w:val="a6"/>
            </w:pPr>
            <w:r>
              <w:t>на лиц, являвшихся руководителями (заместителями</w:t>
            </w:r>
            <w:r>
              <w:t xml:space="preserve"> руководителей) исполнительных органов государственных власти или органов местного самоуправления Республики Саха (Якутия) и намеревающихся заключить трудовые или гражданско-правовые договоры с </w:t>
            </w:r>
            <w:r>
              <w:lastRenderedPageBreak/>
              <w:t>организациями, в отношении которых эти исполнительные органы г</w:t>
            </w:r>
            <w:r>
              <w:t>осударственной власти или органы местного самоуправления Республики Саха (Якутия) осуществляли полномочия учредителя (участника, акционера), собственника имущества таких организаций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lastRenderedPageBreak/>
              <w:t>До 1 июня 2024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15A">
            <w:pPr>
              <w:pStyle w:val="a6"/>
            </w:pPr>
            <w:r>
              <w:t>Управление при Главе Республики Саха (Якутия) по профи</w:t>
            </w:r>
            <w:r>
              <w:t>лактике коррупционных и иных правонарушений, Администрация Главы Республики Саха (Якутия) и Правительства Республики Саха (Якутия), исполнительные органы государственной власти Республики Саха (Якутия), органы местного самоуправления Республики Саха (Якути</w:t>
            </w:r>
            <w:r>
              <w:t>я)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5"/>
              <w:jc w:val="center"/>
            </w:pPr>
            <w:r>
              <w:lastRenderedPageBreak/>
              <w:t>1.2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Проанализировать практику применения ограничений, касающихся получения подарков отдельными категориями лиц и установленных в целях противодействия коррупции, по итогам проведенного анализа представить предложения по совершенствова</w:t>
            </w:r>
            <w:r>
              <w:t xml:space="preserve">нию правовой регламентации таких ограничений, гармонизации </w:t>
            </w:r>
            <w:hyperlink r:id="rId16" w:history="1">
              <w:r>
                <w:rPr>
                  <w:rStyle w:val="a4"/>
                </w:rPr>
                <w:t>гражданского законодательства</w:t>
              </w:r>
            </w:hyperlink>
            <w:r>
              <w:t xml:space="preserve"> и </w:t>
            </w:r>
            <w:hyperlink r:id="rId17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о противод</w:t>
            </w:r>
            <w:r>
              <w:t>ействии коррупции в части, касающейся регулирования правоотношений в этой сфере, а также по актуализации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</w:t>
            </w:r>
            <w:r>
              <w:t>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До 1 июня 2023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15A">
            <w:pPr>
              <w:pStyle w:val="a6"/>
            </w:pPr>
            <w:r>
              <w:t>Управление при Главе Республики Саха (</w:t>
            </w:r>
            <w:r>
              <w:t>Якутия) по профилактике коррупционных и иных правонарушений, Администрация Главы Республики Саха (Якутия) и Правительства Республики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5"/>
              <w:jc w:val="center"/>
            </w:pPr>
            <w:r>
              <w:t>1.3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Проанализировать практику использования исполнительными органами государственной власти и органами местн</w:t>
            </w:r>
            <w:r>
              <w:t xml:space="preserve">ого самоуправления </w:t>
            </w:r>
            <w:r>
              <w:lastRenderedPageBreak/>
              <w:t>Республики Саха (Якутия)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</w:t>
            </w:r>
            <w:r>
              <w:t>иях, а также практику рассмотрения и проверки полученной информации и принимаемых мер реагирования, в случае необходимости представить предложения по совершенствованию правового регулирования в этой сфере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lastRenderedPageBreak/>
              <w:t>До 1 апреля 2024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15A">
            <w:pPr>
              <w:pStyle w:val="a6"/>
            </w:pPr>
            <w:r>
              <w:t xml:space="preserve">Управление при Главе Республики Саха (Якутия) по профилактике коррупционных и иных </w:t>
            </w:r>
            <w:r>
              <w:lastRenderedPageBreak/>
              <w:t>правонарушений, исполнительные органы государственной власти Республики Саха (Якутия), органы местного самоуправления Республики Саха (Якутия)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5"/>
              <w:jc w:val="center"/>
            </w:pPr>
            <w:bookmarkStart w:id="9" w:name="sub_14"/>
            <w:r>
              <w:lastRenderedPageBreak/>
              <w:t>1.4</w:t>
            </w:r>
            <w:bookmarkEnd w:id="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 xml:space="preserve">Представить предложения о порядке проведения проверки соблюдения гражданами ограничения, предусмотренного </w:t>
            </w:r>
            <w:hyperlink r:id="rId18" w:history="1">
              <w:r>
                <w:rPr>
                  <w:rStyle w:val="a4"/>
                </w:rPr>
                <w:t>пунктом 1 статьи 12</w:t>
              </w:r>
            </w:hyperlink>
            <w:r>
              <w:t xml:space="preserve"> Федерального закона "О противодействии коррупции"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До 20 июня 2024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15A">
            <w:pPr>
              <w:pStyle w:val="a6"/>
            </w:pPr>
            <w:r>
              <w:t>Управление при Главе Республики Саха (Якутия) по профилактике коррупционных и иных правонарушений, Администрация Главы Республики Саха (Якутия) и Правительства Республики Саха (Якутия), исполнительные органы государственной власти Респ</w:t>
            </w:r>
            <w:r>
              <w:t>ублики Саха (Якутия), органы местного самоуправления Республики Саха (Якутия)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5"/>
              <w:jc w:val="center"/>
            </w:pPr>
            <w:r>
              <w:t>1.5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Провести мониторинг участия лиц, замещающих государственные должности и муниципальные должности Республики Саха (Якутия), должности государственной граждан</w:t>
            </w:r>
            <w:r>
              <w:t xml:space="preserve">ской службы и должности муниципальной службы Республики Саха (Якутия), в управлении коммерческими и некоммерческими организациями и </w:t>
            </w:r>
            <w:r>
              <w:lastRenderedPageBreak/>
              <w:t>представить аналитический доклад, содержащий обобщенные статистические данные, информацию о выявленных коррупционных правона</w:t>
            </w:r>
            <w:r>
              <w:t>рушениях и коррупционных рисках, а также при необходимости представить предложения по совершенствованию правового регулирования в этой сфере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lastRenderedPageBreak/>
              <w:t>До 1 августа 2023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15A">
            <w:pPr>
              <w:pStyle w:val="a6"/>
            </w:pPr>
            <w:r>
              <w:t>Управление при Главе Республики Саха (Якутия) по профилактике коррупционных и иных правонару</w:t>
            </w:r>
            <w:r>
              <w:t xml:space="preserve">шений, Администрация Главы Республики Саха (Якутия) и Правительства Республики Саха (Якутия), исполнительные органы государственной власти Республики </w:t>
            </w:r>
            <w:r>
              <w:lastRenderedPageBreak/>
              <w:t>Саха (Якутия), органы местного самоуправления Республики Саха (Якутия)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5"/>
              <w:jc w:val="center"/>
            </w:pPr>
            <w:r>
              <w:lastRenderedPageBreak/>
              <w:t>1.6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Продолжить проведение ежегодных социологических исследований в целях оценки уровня коррупции в Республике Саха (Якутия)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Ежегодно, до 15 февраля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15A">
            <w:pPr>
              <w:pStyle w:val="a6"/>
            </w:pPr>
            <w:r>
              <w:t>Администрация Главы Республики Саха (Якутия) и Правительства Республики Саха (Якутия), Управление при Главе Респ</w:t>
            </w:r>
            <w:r>
              <w:t>ублики Саха (Якутия) по профилактике коррупционных и иных правонарушений, ГАУ "Центр стратегических исследований при Главе Республики Саха (Якутия)"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5"/>
              <w:jc w:val="center"/>
            </w:pPr>
            <w:bookmarkStart w:id="10" w:name="sub_17"/>
            <w:r>
              <w:t>1.7</w:t>
            </w:r>
            <w:bookmarkEnd w:id="1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Проанализировать практику рассмотрения исполнительными органами государственной власти и о</w:t>
            </w:r>
            <w:r>
              <w:t>рганами местного самоуправления Республики Саха (Якутия) обращений граждан и организаций по фактам коррупции и принятых по таким обращениям мер реагирования, при необходимости представить предложения по совершенствованию правового регулирования в этой сфер</w:t>
            </w:r>
            <w:r>
              <w:t>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Ежегодно до 1 декабря, итоговый доклад до 1 декабря 2023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15A">
            <w:pPr>
              <w:pStyle w:val="a6"/>
            </w:pPr>
            <w:r>
              <w:t>Управление при Главе Республики Саха (Якутия) по профилактике коррупционных и иных правонарушений, Администрация Главы Республики Саха (Якутия) и Правительства Республики Саха (Якутия), исполн</w:t>
            </w:r>
            <w:r>
              <w:t>ительные органы государственной власти Республики Саха (Якутия), органы местного самоуправления Республики Саха (Якутия)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5"/>
              <w:jc w:val="center"/>
            </w:pPr>
            <w:r>
              <w:t>1.8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 xml:space="preserve">Проанализировать практику, связанную с реализацией </w:t>
            </w:r>
            <w:hyperlink r:id="rId19" w:history="1">
              <w:r>
                <w:rPr>
                  <w:rStyle w:val="a4"/>
                </w:rPr>
                <w:t>Федерального закона</w:t>
              </w:r>
            </w:hyperlink>
            <w:r>
              <w:t xml:space="preserve"> от 3 декабря 2012 г. N 230-ФЗ "О контроле за соответствием расходов лиц, замещающих </w:t>
            </w:r>
            <w:r>
              <w:lastRenderedPageBreak/>
              <w:t>государственные должности, и иных лиц их доходам" в Республике Саха (Якутия)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lastRenderedPageBreak/>
              <w:t>До 1 м</w:t>
            </w:r>
            <w:r>
              <w:t>арта 2023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15A">
            <w:pPr>
              <w:pStyle w:val="a6"/>
            </w:pPr>
            <w:r>
              <w:t xml:space="preserve">Управление при Главе Республики Саха (Якутия) по профилактике коррупционных и иных правонарушений, Администрация </w:t>
            </w:r>
            <w:r>
              <w:lastRenderedPageBreak/>
              <w:t>Главы Республики Саха (Якутия) и Правительства Республики Саха (Якутия), исполнительные органы государственной власти Республики</w:t>
            </w:r>
            <w:r>
              <w:t xml:space="preserve"> Саха (Якутия), органы местного самоуправления Республики Саха (Якутия)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5"/>
              <w:jc w:val="center"/>
            </w:pPr>
            <w:r>
              <w:lastRenderedPageBreak/>
              <w:t>1.9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Разработать типовые антикоррупционные стандарты, направленные на обеспечение добросовестной работы государственных и муниципальных учреждений (предприятий) в Рес</w:t>
            </w:r>
            <w:r>
              <w:t>публике Саха (Якутия)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До 1 июля 2023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15A">
            <w:pPr>
              <w:pStyle w:val="a6"/>
            </w:pPr>
            <w:r>
              <w:t>Управление при Главе Республики Саха (Якутия) по профилактике коррупционных и иных правонарушений, исполнительные органы государственной власти Республики Саха (Якутия), органы местного самоуправления Республики Са</w:t>
            </w:r>
            <w:r>
              <w:t>ха (Якутия)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5"/>
              <w:jc w:val="center"/>
            </w:pPr>
            <w:r>
              <w:t>1.10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Расширить практику включения в составы комиссий по координации работы по противодействию коррупции в Республике Саха (Якутия) исполнительных органов государственной власти и органов местного самоуправления Республики Сах</w:t>
            </w:r>
            <w:r>
              <w:t>а (Якутия)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</w:t>
            </w:r>
            <w:r>
              <w:t>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До 1 сентября 2023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15A">
            <w:pPr>
              <w:pStyle w:val="a6"/>
            </w:pPr>
            <w:r>
              <w:t>Управление при Главе Республики Саха (Якутия) по профилактике коррупционных и иных прав</w:t>
            </w:r>
            <w:r>
              <w:t>онарушений, исполнительные органы государственной власти Республики Саха (Якутия), органы местного самоуправления Республики Саха (Якутия)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B515A">
            <w:pPr>
              <w:pStyle w:val="a5"/>
              <w:jc w:val="center"/>
            </w:pPr>
            <w:r>
              <w:t xml:space="preserve">Раздел 2. Повышение эффективности мер по предотвращению и урегулирования конфликта интересов, </w:t>
            </w:r>
            <w:r>
              <w:lastRenderedPageBreak/>
              <w:t>сове</w:t>
            </w:r>
            <w:r>
              <w:t>ршенствование проведения проверок достоверности и 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5"/>
              <w:jc w:val="center"/>
            </w:pPr>
            <w:r>
              <w:lastRenderedPageBreak/>
              <w:t>2.1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 xml:space="preserve">Провести анализ практики применения норм </w:t>
            </w:r>
            <w:hyperlink r:id="rId20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о противодействии коррупции, предусматривающих обязанность лица передать принадлежащие ему ценные бумаги, акции (доли участия в </w:t>
            </w:r>
            <w:r>
              <w:t>уставных (складочных) капиталах и паи в паевых фондах организаций) в доверительное управление в случае, если владение ими приводит или может привести к конфликту интересов, на предмет эффективности и достаточности этой меры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До 1 августа 2024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15A">
            <w:pPr>
              <w:pStyle w:val="a6"/>
            </w:pPr>
            <w:r>
              <w:t>Управлени</w:t>
            </w:r>
            <w:r>
              <w:t>е при Главе Республики Саха (Якутия) по профилактике коррупционных и иных правонарушений, Администрация Главы Республики Саха (Якутия) и Правительства Республики Саха (Якутия), исполнительные органы государственной власти Республики Саха (Якутия), органы м</w:t>
            </w:r>
            <w:r>
              <w:t>естного самоуправления Республики Саха (Якутия)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5"/>
              <w:jc w:val="center"/>
            </w:pPr>
            <w:r>
              <w:t>2.2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Подготовить обзор практики привлечения к ответственности государственных (муниципальных) служащих за несоблюдение антикоррупционных стандартов и представить предложения по определению случаев, условий и порядка применения мер ответственности (кроме досрочн</w:t>
            </w:r>
            <w:r>
              <w:t>ого прекращения полномочий) за несоблюдение антикоррупционных стандартов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До 1 ноября 2021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15A">
            <w:pPr>
              <w:pStyle w:val="a6"/>
            </w:pPr>
            <w:r>
              <w:t>Управление при Главе Республики Саха (Якутия) по профилактике коррупционных и иных правонарушений, Администрация Главы Республики Саха (Якутия) и Правительства Р</w:t>
            </w:r>
            <w:r>
              <w:t>еспублики Саха (Якутия), исполнительные органы государственной власти, органы местного самоуправления Республики Саха (Якутия)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5"/>
              <w:jc w:val="center"/>
            </w:pPr>
            <w:r>
              <w:t>2.3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 xml:space="preserve">Продолжить работу по внедрению информационной системы для сбора справок о доходах, расходах, об имуществе </w:t>
            </w:r>
            <w:r>
              <w:t xml:space="preserve">и обязательствах имущественного характера, обработки и анализа указанных в них сведений, представленных лицами, замещающими государственные и муниципальные должности Республики Саха </w:t>
            </w:r>
            <w:r>
              <w:lastRenderedPageBreak/>
              <w:t>(Якутия), государственными гражданскими служащими Республики Саха (Якутия)</w:t>
            </w:r>
            <w:r>
              <w:t xml:space="preserve">, руководителями государственных учреждений Республики Саха (Якутия), лицами, претендующими на замещение указанных должностей, а также сведений о доходах, расходах, об имуществе и обязательствах имущественного характера своих супругов и несовершеннолетних </w:t>
            </w:r>
            <w:r>
              <w:t xml:space="preserve">детей в соответствии с действующим законодательством и </w:t>
            </w:r>
            <w:hyperlink r:id="rId21" w:history="1">
              <w:r>
                <w:rPr>
                  <w:rStyle w:val="a4"/>
                </w:rPr>
                <w:t>государственной программой</w:t>
              </w:r>
            </w:hyperlink>
            <w:r>
              <w:t xml:space="preserve"> "Профилактика правонарушений в Республике Саха (Якутия) на 2020 - 2024 годы", утвержденной </w:t>
            </w:r>
            <w:hyperlink r:id="rId22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Республики Саха (Якутия) от 15 сентября 2021 г. N 363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lastRenderedPageBreak/>
              <w:t>До 1 июня 2023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15A">
            <w:pPr>
              <w:pStyle w:val="a6"/>
            </w:pPr>
            <w:r>
              <w:t xml:space="preserve">Министерство инноваций, цифрового развития и инфокоммуникационных технологий Республики Саха </w:t>
            </w:r>
            <w:r>
              <w:t xml:space="preserve">(Якутия), Управление при Главе Республики Саха (Якутия) по профилактике коррупционных и иных правонарушений, органы местного самоуправления Республики Саха </w:t>
            </w:r>
            <w:r>
              <w:lastRenderedPageBreak/>
              <w:t>(Якутия)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B515A">
            <w:pPr>
              <w:pStyle w:val="a5"/>
              <w:jc w:val="center"/>
            </w:pPr>
            <w:r>
              <w:lastRenderedPageBreak/>
              <w:t>Раздел 3. Совершенствование мер по противодействию коррупции при осущест</w:t>
            </w:r>
            <w:r>
              <w:t>влении закупок товаров, работ, услуг для обеспечения государственных или муниципальных нужд, закупок, осуществляемых отдельными видами юридических лиц, а также при реализации национальных проектов и распоряжении государственным и муниципальным имуществом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5"/>
              <w:jc w:val="center"/>
            </w:pPr>
            <w:r>
              <w:t>3.1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Принимать меры, направленные на 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контракта, за "предоставление" права заключения таког</w:t>
            </w:r>
            <w:r>
              <w:t>о контракта (откатов), на выявление и устранение коррупционных проявлений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Ежегодно, до 15 а</w:t>
            </w:r>
            <w:r>
              <w:t>преля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15A">
            <w:pPr>
              <w:pStyle w:val="a6"/>
            </w:pPr>
            <w:r>
              <w:t xml:space="preserve">Министерство внутренних дел по Республике Саха (Якутия) (по согласованию), Управление Федеральной службы безопасности России по Республике Саха (Якутия) (по согласованию), Следственное управление Следственного комитета РФ по Республике Саха (Якутия) </w:t>
            </w:r>
            <w:r>
              <w:t>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5"/>
              <w:jc w:val="center"/>
            </w:pPr>
            <w:r>
              <w:lastRenderedPageBreak/>
              <w:t>3.2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Представить предложения об осуществлении в целях исключения коррупционных рисков мер по обеспечению отк</w:t>
            </w:r>
            <w:r>
              <w:t>рытости и прозрачности процедур (правил) определения стоимости находящихся в государственной (муниципальной) собственности объектов недвижимого имущества и акций (долей участия в уставных (складочных) капиталах и паев в паевых фондах организаций) при приня</w:t>
            </w:r>
            <w:r>
              <w:t>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 недвижимого имущества и акций (долей участия в уставных (с</w:t>
            </w:r>
            <w:r>
              <w:t>кладочных) капиталах и паев в паевых фондах организаций) в государственную (муниципальную) собственность.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До 1 сентября 2022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15A">
            <w:pPr>
              <w:pStyle w:val="a6"/>
            </w:pPr>
            <w:r>
              <w:t xml:space="preserve">Управление при Главе Республики Саха (Якутия) по профилактике коррупционных и иных правонарушений, Министерство имущественных </w:t>
            </w:r>
            <w:r>
              <w:t>и земельных отношений Республики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5"/>
              <w:jc w:val="center"/>
            </w:pPr>
            <w:r>
              <w:t>3.3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Принимать дополнительные меры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</w:t>
            </w:r>
            <w:r>
              <w:t xml:space="preserve"> распространению новой коронавирусной инфекции (COVID-19), а также на реализацию национальных проектов, предусмотренных </w:t>
            </w:r>
            <w:hyperlink r:id="rId23" w:history="1">
              <w:r>
                <w:rPr>
                  <w:rStyle w:val="a4"/>
                </w:rPr>
                <w:t>Указом</w:t>
              </w:r>
            </w:hyperlink>
            <w:r>
              <w:t xml:space="preserve"> Президента Российской Федерации от 7 мая 2018 г. N 204 "О на</w:t>
            </w:r>
            <w:r>
              <w:t xml:space="preserve">циональных целях и стратегических задачах развития Российской Федерации на период до 2024 года", обратив </w:t>
            </w:r>
            <w:r>
              <w:lastRenderedPageBreak/>
              <w:t>особое внимание на выявление и пресечение фактов взяточничества, предоставления аффилированным коммерческим структурам неправомерных преимуществ и оказ</w:t>
            </w:r>
            <w:r>
              <w:t>ания им содействия в иной форме должностными лицами исполнительных органов государственной власти и органов местного самоуправления Республики Саха (Якутия)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lastRenderedPageBreak/>
              <w:t>Ежегодно до 1 марта, итоговый доклад до 1 декабря 2024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15A">
            <w:pPr>
              <w:pStyle w:val="a6"/>
            </w:pPr>
            <w:r>
              <w:t>Министерство внутренних дел по Республи</w:t>
            </w:r>
            <w:r>
              <w:t>ке Саха (Якутия) (по согласованию), Управление Федеральной службы безопасности России по Республике Саха (Якутия) (по согласованию), Управление Федерального казначейства по Республике Саха (Якутия) (по согласованию), Счетная палата Республики Саха (Якутия)</w:t>
            </w:r>
            <w:r>
              <w:t xml:space="preserve">, контрольно-счетные органы муниципальных образований Республики Саха (Якутия) (по </w:t>
            </w:r>
            <w:r>
              <w:lastRenderedPageBreak/>
              <w:t>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5"/>
              <w:jc w:val="center"/>
            </w:pPr>
            <w:bookmarkStart w:id="11" w:name="sub_34"/>
            <w:r>
              <w:lastRenderedPageBreak/>
              <w:t>3.4</w:t>
            </w:r>
            <w:bookmarkEnd w:id="1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Обеспечить участие государственных (муниципальных) служащих, работников, в должностные обязанности которых входит участие в проведении закупок</w:t>
            </w:r>
            <w:r>
              <w:t xml:space="preserve">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</w:t>
            </w:r>
            <w:r>
              <w:t>оррупции.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Ежегодно, до 1 февраля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15A">
            <w:pPr>
              <w:pStyle w:val="a6"/>
            </w:pPr>
            <w:r>
              <w:t>Администрация Главы Республики Саха (Якутия) и Правительства Республики Саха (Якутия), Высшая школа инновационного менеджмента при Главе Республики Саха (Якутия), исполнительные органы государственной власти Республики Саха (Якутия), органы местного самоуп</w:t>
            </w:r>
            <w:r>
              <w:t>равления Республики Саха (Якутия)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5"/>
              <w:jc w:val="center"/>
            </w:pPr>
            <w:r>
              <w:t>3.5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Проанализировать практику применения цифровых технологий при оказании государственных и муниципальных услуг, реализации контрольно-надзорных функций, осуществлении закупок товаров, работ, услуг для о</w:t>
            </w:r>
            <w:r>
              <w:t>беспечения государственных и муниципальных нужд в целях выявления в том числе аффилированности участников закупок для обеспечения государственных (муниципальных) нужд с лицами, замещающими государственные (муниципальные) должности, государственных гражданс</w:t>
            </w:r>
            <w:r>
              <w:t xml:space="preserve">ких и </w:t>
            </w:r>
            <w:r>
              <w:lastRenderedPageBreak/>
              <w:t>муниципальных служащих Республики Саха (Якутия), руководителями государственных и муниципальных учреждений, минимизации и устранения коррупционных рисков, связанных с применением таких технологий, и подготовить предложения по совершенствованию правов</w:t>
            </w:r>
            <w:r>
              <w:t>ого регулирования в этой сфере, а также обзор способов совершения коррупционных правонарушений, связанных с использованием цифровых технологий при осуществлении указанных видов деятельности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lastRenderedPageBreak/>
              <w:t>до 1 сентября, итоговый доклад до декабря 2022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15A">
            <w:pPr>
              <w:pStyle w:val="a6"/>
            </w:pPr>
            <w:r>
              <w:t>Министерство и</w:t>
            </w:r>
            <w:r>
              <w:t>нноваций, цифрового развития и инфокоммуникационных технологий Республики Саха (Якутия), Министерство финансов Республики Саха (Якутия), Министерство экономики Республики Саха (Якутия), Управление при Главе Республики Саха (Якутия) по профилактике коррупци</w:t>
            </w:r>
            <w:r>
              <w:t>онных и иных правонарушений, ГКУ Республики Саха (Якутия) "Центр закупок Республики Саха (Якутия)"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B515A">
            <w:pPr>
              <w:pStyle w:val="a5"/>
              <w:jc w:val="center"/>
            </w:pPr>
            <w:r>
              <w:lastRenderedPageBreak/>
              <w:t>Раздел 4. Повышение эффективности образовательных и иных мероприятий, направленных на антикоррупционное просвещение и популяризацию в обществе антикоррупцио</w:t>
            </w:r>
            <w:r>
              <w:t>нных стандартов, а также дополнительные меры по расширению участия граждан и институтов гражданского общества в реализации государственной политики в области противодействия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5"/>
              <w:jc w:val="center"/>
            </w:pPr>
            <w:r>
              <w:t>4.1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Обеспечить участие представителей региональных средств массовой информации во всероссийском семинаре по вопросам создания и продвижения социальной антикоррупционной рекламы, осуществления комплекса иных информационно-просветительских мероприятий антикорруп</w:t>
            </w:r>
            <w:r>
              <w:t>ционной направленности и реализацию выработанных по итогам указанного семинара рекомендаций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До 31 декабря 2022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15A">
            <w:pPr>
              <w:pStyle w:val="a6"/>
            </w:pPr>
            <w:r>
              <w:t xml:space="preserve">Министерство инноваций, цифрового развития и инфокоммуникационных технологий Республики Саха (Якутия), Управление при Главе Республики Саха </w:t>
            </w:r>
            <w:r>
              <w:t>(Якутия) по профилактике коррупционных и иных правонарушений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5"/>
              <w:jc w:val="center"/>
            </w:pPr>
            <w:r>
              <w:t>4.2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 xml:space="preserve">Обеспечить участие во всероссийском конкурсе на лучшую работу по теме, посвященной противодействию коррупции, среди обучающихся по образовательным программам общего образования и в международных и всероссийских </w:t>
            </w:r>
            <w:r>
              <w:lastRenderedPageBreak/>
              <w:t>студенческих антикоррупционных мероприятиях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lastRenderedPageBreak/>
              <w:t>Д</w:t>
            </w:r>
            <w:r>
              <w:t>о 15 мая 2024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15A">
            <w:pPr>
              <w:pStyle w:val="a6"/>
            </w:pPr>
            <w:r>
              <w:t>Министерство образования и науки Республики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5"/>
              <w:jc w:val="center"/>
            </w:pPr>
            <w:r>
              <w:lastRenderedPageBreak/>
              <w:t>4.3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Обеспечить участие в научно-практической конференции работников образовательных и научных организаций "Противодействие коррупции в образовательных и научных организациях"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 xml:space="preserve">До </w:t>
            </w:r>
            <w:r>
              <w:t>30 ноября 2024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15A">
            <w:pPr>
              <w:pStyle w:val="a6"/>
            </w:pPr>
            <w:r>
              <w:t>Министерство образования и науки Республики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5"/>
              <w:jc w:val="center"/>
            </w:pPr>
            <w:bookmarkStart w:id="12" w:name="sub_44"/>
            <w:r>
              <w:t>4.4</w:t>
            </w:r>
            <w:bookmarkEnd w:id="1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Обеспечить участие государственных (муниципальных) служащих, работников, в должностные обязанности которых входит участие в противодействии коррупции, в мероприя</w:t>
            </w:r>
            <w:r>
              <w:t>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Ежегодно, до 1 февраля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15A">
            <w:pPr>
              <w:pStyle w:val="a6"/>
            </w:pPr>
            <w:r>
              <w:t>Админис</w:t>
            </w:r>
            <w:r>
              <w:t>трация Главы Республики Саха (Якутия) и Правительства Республики Саха (Якутия), Управление при Главе Республики Саха (Якутия) по профилактике коррупционных и иных правонарушений, исполнительные органы государственной власти Республики Саха (Якутия), органы</w:t>
            </w:r>
            <w:r>
              <w:t xml:space="preserve"> местного самоуправления Республики Саха (Якутия)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5"/>
              <w:jc w:val="center"/>
            </w:pPr>
            <w:bookmarkStart w:id="13" w:name="sub_45"/>
            <w:r>
              <w:t>4.5</w:t>
            </w:r>
            <w:bookmarkEnd w:id="1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Обеспечить участие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</w:t>
            </w:r>
            <w:r>
              <w:t>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Ежегодно, до 1 февраля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15A">
            <w:pPr>
              <w:pStyle w:val="a6"/>
            </w:pPr>
            <w:r>
              <w:t>Администрация Главы Республики Саха (Якутия) и Правительства Республики Саха (Якутия), Управление при Главе Республ</w:t>
            </w:r>
            <w:r>
              <w:t>ики Саха (Якутия) по профилактике коррупционных и иных правонарушений, исполнительные органы государственной власти Республики Саха (Якутия), органы местного самоуправления Республики Саха (Якутия)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5"/>
              <w:jc w:val="center"/>
            </w:pPr>
            <w:r>
              <w:t>4.6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 xml:space="preserve">Подготовить предложения о мерах по </w:t>
            </w:r>
            <w:r>
              <w:t xml:space="preserve">стимулированию и расширению участия граждан, общественных объединений, иных </w:t>
            </w:r>
            <w:r>
              <w:lastRenderedPageBreak/>
              <w:t>некоммерческих организаций в деятельности в области противодействия коррупции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lastRenderedPageBreak/>
              <w:t>До 20 мая 2023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15A">
            <w:pPr>
              <w:pStyle w:val="a6"/>
            </w:pPr>
            <w:r>
              <w:t>Общественная палата Республики Саха (Якутия) (по согласованию), Управление при Гла</w:t>
            </w:r>
            <w:r>
              <w:t xml:space="preserve">ве Республики </w:t>
            </w:r>
            <w:r>
              <w:lastRenderedPageBreak/>
              <w:t>Саха (Якутия) по профилактике коррупционных и иных правонарушений, исполнительные органы государственной власти Республики Саха (Якутия), подведомственные учреждения министерств, ведомств, органы местного самоуправления Республики Саха (Якути</w:t>
            </w:r>
            <w:r>
              <w:t>я)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5"/>
              <w:jc w:val="center"/>
            </w:pPr>
            <w:r>
              <w:lastRenderedPageBreak/>
              <w:t>4.7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их участия в указанной деятельности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До 20 мая 2023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15A">
            <w:pPr>
              <w:pStyle w:val="a6"/>
            </w:pPr>
            <w:r>
              <w:t>Общественная палата Республики Саха (Якутия)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5"/>
              <w:jc w:val="center"/>
            </w:pPr>
            <w:r>
              <w:t>4.8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Подготовить предложения о мерах по привлечению добровольческих (волонтерских) организаций и движений к системной работе по противодействию коррупции и антикоррупционном</w:t>
            </w:r>
            <w:r>
              <w:t>у просвещению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До 1 февраля 2024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15A">
            <w:pPr>
              <w:pStyle w:val="a6"/>
            </w:pPr>
            <w:r>
              <w:t>Общественная палата Республики Саха (Якутия)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5"/>
              <w:jc w:val="center"/>
            </w:pPr>
            <w:r>
              <w:t>4.9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Проанализировать практику предоставления в Республике Саха (Якутия) мер подд</w:t>
            </w:r>
            <w:r>
              <w:t xml:space="preserve">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определить приоритетные для оказания поддержки направления деятельности и проекты в </w:t>
            </w:r>
            <w:r>
              <w:t>области противодействия коррупции и антикоррупционного просвещения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До 25 апреля 2024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15A">
            <w:pPr>
              <w:pStyle w:val="a6"/>
            </w:pPr>
            <w:r>
              <w:t>Общественная палата Республики Саха (Якутия) (по согласованию), Управление при Главе Республики Саха (Якутия) по профилактике коррупционных и иных правонарушений, Упр</w:t>
            </w:r>
            <w:r>
              <w:t xml:space="preserve">авление Министерства юстиции Российской Федерации по Республике Саха (Якутия) (по согласованию), Министерство финансов Республики Саха (Якутия), Министерство </w:t>
            </w:r>
            <w:r>
              <w:lastRenderedPageBreak/>
              <w:t>экономики Республики Саха (Якутия), Министерство по делам молодежи и социальным коммуникациям Респ</w:t>
            </w:r>
            <w:r>
              <w:t>ублики Саха (Якутия), Якутское региональное отделение Общероссийской общественно-государственной просветительской организации "Российское общество "Знание"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5"/>
              <w:jc w:val="center"/>
            </w:pPr>
            <w:r>
              <w:lastRenderedPageBreak/>
              <w:t>4.10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Провести просветительские мероприятия, направленные на информирование гражда</w:t>
            </w:r>
            <w:r>
              <w:t xml:space="preserve">н о требованиях </w:t>
            </w:r>
            <w:hyperlink r:id="rId24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о противодействии коррупции и на создание в обществе атмосферы нетерпимости к коррупционным проявлениям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По отдельному совместному плану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15A">
            <w:pPr>
              <w:pStyle w:val="a6"/>
            </w:pPr>
            <w:r>
              <w:t>Управление при Гла</w:t>
            </w:r>
            <w:r>
              <w:t>ве Республики Саха (Якутия) по профилактике коррупционных и иных правонарушений, Якутское региональное отделение Общероссийской общественной организации "Ассоциация юристов России"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5"/>
              <w:jc w:val="center"/>
            </w:pPr>
            <w:r>
              <w:t>4.11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Обеспечить во взаимодействии с образовательными и н</w:t>
            </w:r>
            <w:r>
              <w:t>аучными организациями проведение в Республике Саха (Якутия) регулярных публичных лекций по антикоррупционной тематике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До 1 ноября 2024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15A">
            <w:pPr>
              <w:pStyle w:val="a6"/>
            </w:pPr>
            <w:r>
              <w:t>Управление при Главе Республики Саха (Якутия) по профилактике коррупционных и иных правонарушений, Министерство образования и науки Республики Саха (Якутия), Якутское региональное отделение Общероссийской общественной организации "Ассоциация юристов России</w:t>
            </w:r>
            <w:r>
              <w:t>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5"/>
              <w:jc w:val="center"/>
            </w:pPr>
            <w:r>
              <w:t>4.12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Обеспечить распространение в сети Интернет контента, направленного на популяризацию в обществе антикоррупционных стандартов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До 1 ноября 2024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15A">
            <w:pPr>
              <w:pStyle w:val="a6"/>
            </w:pPr>
            <w:r>
              <w:t xml:space="preserve">Якутское региональное отделение Общероссийской общественной организации "Ассоциация </w:t>
            </w:r>
            <w:r>
              <w:t>юристов России"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5"/>
              <w:jc w:val="center"/>
            </w:pPr>
            <w:r>
              <w:lastRenderedPageBreak/>
              <w:t>4.13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интернет-ресурсов (</w:t>
            </w:r>
            <w:hyperlink r:id="rId25" w:history="1">
              <w:r>
                <w:rPr>
                  <w:rStyle w:val="a4"/>
                </w:rPr>
                <w:t>www.regulation.gov.ru</w:t>
              </w:r>
            </w:hyperlink>
            <w:r>
              <w:t xml:space="preserve">, </w:t>
            </w:r>
            <w:hyperlink r:id="rId26" w:history="1">
              <w:r>
                <w:rPr>
                  <w:rStyle w:val="a4"/>
                </w:rPr>
                <w:t>www.vashkontrol.ru</w:t>
              </w:r>
            </w:hyperlink>
            <w:r>
              <w:t xml:space="preserve">, </w:t>
            </w:r>
            <w:hyperlink r:id="rId27" w:history="1">
              <w:r>
                <w:rPr>
                  <w:rStyle w:val="a4"/>
                </w:rPr>
                <w:t>www.roi.ru</w:t>
              </w:r>
            </w:hyperlink>
            <w:r>
              <w:t xml:space="preserve">, </w:t>
            </w:r>
            <w:hyperlink r:id="rId28" w:history="1">
              <w:r>
                <w:rPr>
                  <w:rStyle w:val="a4"/>
                </w:rPr>
                <w:t>https://yakutia.click/</w:t>
              </w:r>
            </w:hyperlink>
            <w: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До 1 октября 2024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15A">
            <w:pPr>
              <w:pStyle w:val="a6"/>
            </w:pPr>
            <w:r>
              <w:t xml:space="preserve">Министерство инноваций, цифрового развития и инфокоммуникационных технологий Республики Саха (Якутия), Управление при Главе Республики Саха (Якутия) </w:t>
            </w:r>
            <w:r>
              <w:t>по профилактике коррупционных и иных правонарушений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B515A">
            <w:pPr>
              <w:pStyle w:val="a5"/>
              <w:jc w:val="center"/>
            </w:pPr>
            <w:r>
              <w:t>Раздел 5. Реализация мер по противодействию коррупции в организациях, осуществляющих деятельность в частном секторе экономики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5"/>
              <w:jc w:val="center"/>
            </w:pPr>
            <w:r>
              <w:t>5.1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До 31 декабря 2021 года, итоговый доклад до 30 мая 2023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15A">
            <w:pPr>
              <w:pStyle w:val="a6"/>
            </w:pPr>
            <w:r>
              <w:t>Министерство предпринимательства, торговли и туризма Республики Саха (Якутия), Уполномоченный по защите прав предпринимателей в Республике Саха (Якутия) (по согласованию), Торгово-промышленная палата Республики Саха (Якутия) (по согласованию), Управление п</w:t>
            </w:r>
            <w:r>
              <w:t>ри Главе Республики Саха (Якутия) по профилактике коррупционных и иных правонарушений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5"/>
              <w:jc w:val="center"/>
            </w:pPr>
            <w:r>
              <w:t>5.2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Продолжить участие в проведении ежегодного независимого исследования в целях определения отношения предпринимательского сообщества к коррупции и оценки его представи</w:t>
            </w:r>
            <w:r>
              <w:t>телями государственной политики в области противодействия коррупции ("бизнес-барометр коррупции")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>Ежегодно, до 1 февраля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15A">
            <w:pPr>
              <w:pStyle w:val="a6"/>
            </w:pPr>
            <w:r>
              <w:t>Торгово-промышленная палата Республики Саха (Якутия) (по согласованию), Министерство предпринимательства, торговли и туризма Республики</w:t>
            </w:r>
            <w:r>
              <w:t xml:space="preserve">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5"/>
              <w:jc w:val="center"/>
            </w:pPr>
            <w:r>
              <w:t>5.3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t xml:space="preserve">Обеспечить участие во всероссийских акциях, направленных на внедрение в сферу бизнеса процедур внутреннего контроля, реализацию антикоррупционной политики организациями, </w:t>
            </w:r>
            <w:r>
              <w:lastRenderedPageBreak/>
              <w:t>осуществляющими деятельность в частном секторе экономики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15A">
            <w:pPr>
              <w:pStyle w:val="a6"/>
            </w:pPr>
            <w:r>
              <w:lastRenderedPageBreak/>
              <w:t>Ежегодно,</w:t>
            </w:r>
            <w:r>
              <w:t xml:space="preserve"> до 1 апреля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15A">
            <w:pPr>
              <w:pStyle w:val="a6"/>
            </w:pPr>
            <w:r>
              <w:t xml:space="preserve">Торгово-промышленная палата Республики Саха (Якутия) (по согласованию), Уполномоченный по защите прав предпринимателей в </w:t>
            </w:r>
            <w:r>
              <w:lastRenderedPageBreak/>
              <w:t>Республике Саха (Якутия) (по согласованию), региональные отделения общероссийских общественных организаций "Российский сою</w:t>
            </w:r>
            <w:r>
              <w:t>з промышленников и предпринимателе", "ОПОРА РОССИИ", "Деловая Россия" (по согласованию)</w:t>
            </w:r>
          </w:p>
        </w:tc>
      </w:tr>
    </w:tbl>
    <w:p w:rsidR="00FB515A" w:rsidRDefault="00FB515A"/>
    <w:sectPr w:rsidR="00FB515A">
      <w:headerReference w:type="default" r:id="rId29"/>
      <w:footerReference w:type="default" r:id="rId30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15A" w:rsidRDefault="00FB515A">
      <w:r>
        <w:separator/>
      </w:r>
    </w:p>
  </w:endnote>
  <w:endnote w:type="continuationSeparator" w:id="1">
    <w:p w:rsidR="00FB515A" w:rsidRDefault="00FB5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B515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25.04.202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B515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B515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75BA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75BA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975BA3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FB515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25.04.202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B515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B515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75BA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75BA3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975BA3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15A" w:rsidRDefault="00FB515A">
      <w:r>
        <w:separator/>
      </w:r>
    </w:p>
  </w:footnote>
  <w:footnote w:type="continuationSeparator" w:id="1">
    <w:p w:rsidR="00FB515A" w:rsidRDefault="00FB5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B515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Главы Республики Саха (Якутия) от 4 октября 2021 г. N 483-РГ "О плане противодействия…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B515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Главы Республики Саха (Якутия) от 4 октября 2021 г. N 483-РГ "О плане противодействия коррупции в Республике Саха (Якутия) на 2021 - 2024 годы"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BA3"/>
    <w:rsid w:val="00975BA3"/>
    <w:rsid w:val="00FB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619978/32" TargetMode="External"/><Relationship Id="rId13" Type="http://schemas.openxmlformats.org/officeDocument/2006/relationships/footer" Target="footer1.xml"/><Relationship Id="rId18" Type="http://schemas.openxmlformats.org/officeDocument/2006/relationships/hyperlink" Target="http://internet.garant.ru/document/redirect/12164203/1201" TargetMode="External"/><Relationship Id="rId26" Type="http://schemas.openxmlformats.org/officeDocument/2006/relationships/hyperlink" Target="http://internet.garant.ru/document/redirect/26707340/71111274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402831893/1000" TargetMode="External"/><Relationship Id="rId7" Type="http://schemas.openxmlformats.org/officeDocument/2006/relationships/hyperlink" Target="http://internet.garant.ru/document/redirect/402947550/0" TargetMode="External"/><Relationship Id="rId12" Type="http://schemas.openxmlformats.org/officeDocument/2006/relationships/header" Target="header1.xml"/><Relationship Id="rId17" Type="http://schemas.openxmlformats.org/officeDocument/2006/relationships/hyperlink" Target="http://internet.garant.ru/document/redirect/12164203/0" TargetMode="External"/><Relationship Id="rId25" Type="http://schemas.openxmlformats.org/officeDocument/2006/relationships/hyperlink" Target="http://internet.garant.ru/document/redirect/26707340/711112268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0164072/3" TargetMode="External"/><Relationship Id="rId20" Type="http://schemas.openxmlformats.org/officeDocument/2006/relationships/hyperlink" Target="http://internet.garant.ru/document/redirect/12164203/0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02619978/32" TargetMode="External"/><Relationship Id="rId24" Type="http://schemas.openxmlformats.org/officeDocument/2006/relationships/hyperlink" Target="http://internet.garant.ru/document/redirect/12164203/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64203/1201" TargetMode="External"/><Relationship Id="rId23" Type="http://schemas.openxmlformats.org/officeDocument/2006/relationships/hyperlink" Target="http://internet.garant.ru/document/redirect/71937200/0" TargetMode="External"/><Relationship Id="rId28" Type="http://schemas.openxmlformats.org/officeDocument/2006/relationships/hyperlink" Target="http://internet.garant.ru/document/redirect/26707340/711112284" TargetMode="External"/><Relationship Id="rId10" Type="http://schemas.openxmlformats.org/officeDocument/2006/relationships/hyperlink" Target="http://internet.garant.ru/document/redirect/402619978/0" TargetMode="External"/><Relationship Id="rId19" Type="http://schemas.openxmlformats.org/officeDocument/2006/relationships/hyperlink" Target="http://internet.garant.ru/document/redirect/70271682/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2619978/1000" TargetMode="External"/><Relationship Id="rId14" Type="http://schemas.openxmlformats.org/officeDocument/2006/relationships/hyperlink" Target="http://internet.garant.ru/document/redirect/12164203/12" TargetMode="External"/><Relationship Id="rId22" Type="http://schemas.openxmlformats.org/officeDocument/2006/relationships/hyperlink" Target="http://internet.garant.ru/document/redirect/402831893/0" TargetMode="External"/><Relationship Id="rId27" Type="http://schemas.openxmlformats.org/officeDocument/2006/relationships/hyperlink" Target="http://internet.garant.ru/document/redirect/26707340/711112041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4310</Words>
  <Characters>24570</Characters>
  <Application>Microsoft Office Word</Application>
  <DocSecurity>0</DocSecurity>
  <Lines>204</Lines>
  <Paragraphs>57</Paragraphs>
  <ScaleCrop>false</ScaleCrop>
  <Company>НПП "Гарант-Сервис"</Company>
  <LinksUpToDate>false</LinksUpToDate>
  <CharactersWithSpaces>28823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VERA-yrist</cp:lastModifiedBy>
  <cp:revision>2</cp:revision>
  <dcterms:created xsi:type="dcterms:W3CDTF">2022-04-25T02:50:00Z</dcterms:created>
  <dcterms:modified xsi:type="dcterms:W3CDTF">2022-04-25T02:50:00Z</dcterms:modified>
</cp:coreProperties>
</file>