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F8" w:rsidRDefault="002817F8" w:rsidP="002817F8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60041526" wp14:editId="17AC423A">
            <wp:simplePos x="0" y="0"/>
            <wp:positionH relativeFrom="column">
              <wp:posOffset>2263140</wp:posOffset>
            </wp:positionH>
            <wp:positionV relativeFrom="paragraph">
              <wp:posOffset>-453390</wp:posOffset>
            </wp:positionV>
            <wp:extent cx="965835" cy="790575"/>
            <wp:effectExtent l="19050" t="0" r="5715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7F8" w:rsidRDefault="002817F8" w:rsidP="002817F8">
      <w:pPr>
        <w:rPr>
          <w:lang w:val="en-US"/>
        </w:rPr>
      </w:pPr>
    </w:p>
    <w:p w:rsidR="002817F8" w:rsidRDefault="002817F8" w:rsidP="002817F8">
      <w:pPr>
        <w:rPr>
          <w:lang w:val="en-US"/>
        </w:rPr>
      </w:pPr>
    </w:p>
    <w:p w:rsidR="002817F8" w:rsidRPr="002817F8" w:rsidRDefault="002817F8" w:rsidP="002817F8">
      <w:pPr>
        <w:rPr>
          <w:sz w:val="24"/>
          <w:szCs w:val="24"/>
        </w:rPr>
      </w:pPr>
      <w:r w:rsidRPr="002817F8">
        <w:rPr>
          <w:sz w:val="24"/>
          <w:szCs w:val="24"/>
        </w:rPr>
        <w:t>Муниципальное казенное учреждение</w:t>
      </w:r>
    </w:p>
    <w:p w:rsidR="002817F8" w:rsidRPr="002817F8" w:rsidRDefault="002817F8" w:rsidP="002817F8">
      <w:pPr>
        <w:rPr>
          <w:sz w:val="24"/>
          <w:szCs w:val="24"/>
        </w:rPr>
      </w:pPr>
      <w:r w:rsidRPr="002817F8">
        <w:rPr>
          <w:sz w:val="24"/>
          <w:szCs w:val="24"/>
        </w:rPr>
        <w:t>ВИЛЮЙСКОЕ УЛУСНОЕ (РАЙОННОЕ) УПРАВЛЕНИЕ ОБРАЗОВАНИЕМ</w:t>
      </w:r>
    </w:p>
    <w:p w:rsidR="002817F8" w:rsidRPr="002817F8" w:rsidRDefault="002817F8" w:rsidP="002817F8">
      <w:pPr>
        <w:rPr>
          <w:sz w:val="24"/>
          <w:szCs w:val="24"/>
        </w:rPr>
      </w:pPr>
      <w:r w:rsidRPr="002817F8">
        <w:rPr>
          <w:sz w:val="24"/>
          <w:szCs w:val="24"/>
        </w:rPr>
        <w:t>муниципального района «Вилюйский улус (район)» Республики Саха (Якутия).</w:t>
      </w:r>
    </w:p>
    <w:p w:rsidR="002817F8" w:rsidRPr="002817F8" w:rsidRDefault="002817F8" w:rsidP="002817F8">
      <w:pPr>
        <w:ind w:right="-107"/>
        <w:rPr>
          <w:sz w:val="24"/>
          <w:szCs w:val="24"/>
        </w:rPr>
      </w:pPr>
      <w:r w:rsidRPr="002817F8">
        <w:rPr>
          <w:sz w:val="24"/>
          <w:szCs w:val="24"/>
        </w:rPr>
        <w:t>678200  г. Вилюйск, улица Ярославского, дом 6  тел. 41-5-20</w:t>
      </w:r>
      <w:r w:rsidRPr="002817F8">
        <w:rPr>
          <w:b/>
          <w:sz w:val="24"/>
          <w:szCs w:val="24"/>
        </w:rPr>
        <w:t xml:space="preserve">, </w:t>
      </w:r>
      <w:r w:rsidRPr="002817F8">
        <w:rPr>
          <w:sz w:val="24"/>
          <w:szCs w:val="24"/>
        </w:rPr>
        <w:t xml:space="preserve">тел/факс 43-4-08 </w:t>
      </w:r>
    </w:p>
    <w:p w:rsidR="002817F8" w:rsidRPr="002817F8" w:rsidRDefault="002817F8" w:rsidP="002817F8">
      <w:pPr>
        <w:rPr>
          <w:sz w:val="24"/>
          <w:szCs w:val="24"/>
        </w:rPr>
      </w:pPr>
      <w:r w:rsidRPr="002817F8">
        <w:rPr>
          <w:sz w:val="24"/>
          <w:szCs w:val="24"/>
        </w:rPr>
        <w:t>ОКПО 02123854, ОГРН 1021400642042, ИНН/КПП 1410001987/141001001</w:t>
      </w:r>
    </w:p>
    <w:p w:rsidR="002817F8" w:rsidRDefault="002817F8" w:rsidP="002817F8">
      <w:pPr>
        <w:pStyle w:val="2"/>
        <w:spacing w:after="120"/>
        <w:rPr>
          <w:b w:val="0"/>
          <w:sz w:val="22"/>
          <w:szCs w:val="22"/>
          <w:lang w:val="ky-KG"/>
        </w:rPr>
      </w:pPr>
    </w:p>
    <w:p w:rsidR="002817F8" w:rsidRPr="00AE1C73" w:rsidRDefault="002817F8" w:rsidP="004D2978">
      <w:pPr>
        <w:pStyle w:val="2"/>
        <w:rPr>
          <w:sz w:val="22"/>
          <w:szCs w:val="22"/>
        </w:rPr>
      </w:pPr>
      <w:r w:rsidRPr="00BA0EF0">
        <w:rPr>
          <w:b w:val="0"/>
          <w:sz w:val="22"/>
          <w:szCs w:val="22"/>
          <w:lang w:val="ky-KG"/>
        </w:rPr>
        <w:t xml:space="preserve">   </w:t>
      </w:r>
      <w:r w:rsidRPr="00BA0EF0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_</w:t>
      </w:r>
      <w:r w:rsidR="00C560C3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_</w:t>
      </w:r>
      <w:r w:rsidRPr="00BA0EF0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</w:t>
      </w:r>
      <w:r w:rsidR="004D2978">
        <w:rPr>
          <w:b w:val="0"/>
          <w:sz w:val="22"/>
          <w:szCs w:val="22"/>
        </w:rPr>
        <w:t>__</w:t>
      </w:r>
      <w:r w:rsidR="00C560C3">
        <w:rPr>
          <w:b w:val="0"/>
          <w:sz w:val="22"/>
          <w:szCs w:val="22"/>
        </w:rPr>
        <w:t>02</w:t>
      </w:r>
      <w:r w:rsidR="004D2978">
        <w:rPr>
          <w:b w:val="0"/>
          <w:sz w:val="22"/>
          <w:szCs w:val="22"/>
        </w:rPr>
        <w:t>__</w:t>
      </w:r>
      <w:r w:rsidRPr="00BA0EF0">
        <w:rPr>
          <w:b w:val="0"/>
          <w:sz w:val="22"/>
          <w:szCs w:val="22"/>
        </w:rPr>
        <w:t xml:space="preserve">  20</w:t>
      </w:r>
      <w:r>
        <w:rPr>
          <w:b w:val="0"/>
          <w:sz w:val="22"/>
          <w:szCs w:val="22"/>
        </w:rPr>
        <w:t>20</w:t>
      </w:r>
      <w:r w:rsidRPr="00BA0EF0">
        <w:rPr>
          <w:b w:val="0"/>
          <w:sz w:val="22"/>
          <w:szCs w:val="22"/>
        </w:rPr>
        <w:t xml:space="preserve"> г.</w:t>
      </w:r>
      <w:r w:rsidRPr="00BA0EF0">
        <w:rPr>
          <w:b w:val="0"/>
          <w:sz w:val="22"/>
          <w:szCs w:val="22"/>
        </w:rPr>
        <w:tab/>
        <w:t xml:space="preserve">                                                                                   № __</w:t>
      </w:r>
      <w:r w:rsidR="00C560C3">
        <w:rPr>
          <w:b w:val="0"/>
          <w:sz w:val="22"/>
          <w:szCs w:val="22"/>
        </w:rPr>
        <w:t>01-04/20-14п.2</w:t>
      </w:r>
    </w:p>
    <w:p w:rsidR="002817F8" w:rsidRPr="002817F8" w:rsidRDefault="002817F8" w:rsidP="002817F8">
      <w:pPr>
        <w:spacing w:after="120"/>
        <w:rPr>
          <w:b/>
          <w:sz w:val="24"/>
          <w:szCs w:val="24"/>
        </w:rPr>
      </w:pPr>
      <w:r w:rsidRPr="002817F8">
        <w:rPr>
          <w:b/>
          <w:sz w:val="24"/>
          <w:szCs w:val="24"/>
        </w:rPr>
        <w:t>ПРИКАЗ</w:t>
      </w:r>
    </w:p>
    <w:p w:rsidR="002817F8" w:rsidRPr="004D2978" w:rsidRDefault="002817F8" w:rsidP="004D2978">
      <w:pPr>
        <w:jc w:val="both"/>
        <w:textAlignment w:val="baseline"/>
        <w:outlineLvl w:val="0"/>
        <w:rPr>
          <w:rFonts w:eastAsia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D2978" w:rsidRPr="004D2978" w:rsidRDefault="002817F8" w:rsidP="004D2978">
      <w:pPr>
        <w:jc w:val="both"/>
        <w:textAlignment w:val="baseline"/>
        <w:outlineLvl w:val="0"/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4D297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О</w:t>
      </w:r>
      <w:r w:rsidRPr="002817F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б утверждении Плана мероприятий </w:t>
      </w:r>
    </w:p>
    <w:p w:rsidR="004D2978" w:rsidRPr="004D2978" w:rsidRDefault="002817F8" w:rsidP="004D2978">
      <w:pPr>
        <w:jc w:val="both"/>
        <w:textAlignment w:val="baseline"/>
        <w:outlineLvl w:val="0"/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2817F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(</w:t>
      </w:r>
      <w:r w:rsidR="004D2978" w:rsidRPr="004D297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«</w:t>
      </w:r>
      <w:r w:rsidRPr="002817F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дорожной карты</w:t>
      </w:r>
      <w:r w:rsidR="004D2978" w:rsidRPr="004D297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»</w:t>
      </w:r>
      <w:r w:rsidRPr="002817F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) по развитию системы методической работы </w:t>
      </w:r>
    </w:p>
    <w:p w:rsidR="002817F8" w:rsidRPr="002817F8" w:rsidRDefault="002817F8" w:rsidP="004D2978">
      <w:pPr>
        <w:jc w:val="both"/>
        <w:textAlignment w:val="baseline"/>
        <w:outlineLvl w:val="0"/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2817F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4D2978" w:rsidRPr="004D2978">
        <w:rPr>
          <w:rFonts w:eastAsia="Times New Roman"/>
          <w:bCs/>
          <w:i/>
          <w:color w:val="000000" w:themeColor="text1"/>
          <w:kern w:val="36"/>
          <w:sz w:val="24"/>
          <w:szCs w:val="24"/>
          <w:lang w:eastAsia="ru-RU"/>
        </w:rPr>
        <w:t>Вилюйском улусе</w:t>
      </w:r>
    </w:p>
    <w:p w:rsidR="004D2978" w:rsidRDefault="004D2978" w:rsidP="004D297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2817F8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В целях </w:t>
      </w:r>
      <w:r w:rsid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достижения основных целей муниципальной целевой программы развития системы образования Вилюйского улуса «Будущее Вилюйской школы» на, а также 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реализации оценки механизмов управления качеством образования в </w:t>
      </w:r>
      <w:r w:rsid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Вилюйском улусе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817F8">
        <w:rPr>
          <w:rFonts w:eastAsia="Times New Roman"/>
          <w:b/>
          <w:caps/>
          <w:color w:val="000000" w:themeColor="text1"/>
          <w:spacing w:val="2"/>
          <w:sz w:val="24"/>
          <w:szCs w:val="24"/>
          <w:lang w:eastAsia="ru-RU"/>
        </w:rPr>
        <w:t>приказываю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087BA7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2817F8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1. Утвердить План мероприятий (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дорожную карту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) по развитию системы методической работы в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Вилюйском улусе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(далее - План) (</w:t>
      </w:r>
      <w:r w:rsidRPr="002817F8"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).</w:t>
      </w:r>
    </w:p>
    <w:p w:rsidR="00087BA7" w:rsidRDefault="002817F8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Научно-методическому отделу (Григорьева Н.Е.)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обеспечить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организационно-методическое сопровождение реализации 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мероприятий Плана, утвержденного настоящим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риказом.</w:t>
      </w:r>
    </w:p>
    <w:p w:rsidR="00087BA7" w:rsidRDefault="002817F8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3.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Руководителям отделов обеспечить исполнение мероприятий Плана, утвержденного настоящим приказом, по направлениям работы в установленные сроки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2817F8" w:rsidRDefault="002817F8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4. Контроль за исполнением настоящего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риказа возложить на </w:t>
      </w:r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заместителя начальника </w:t>
      </w:r>
      <w:proofErr w:type="spellStart"/>
      <w:r w:rsidR="00087BA7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Н.А.Филиппову</w:t>
      </w:r>
      <w:proofErr w:type="spellEnd"/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87BA7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Pr="002817F8" w:rsidRDefault="00087BA7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Начальник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 w:rsidR="00E5653B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п/п</w:t>
      </w:r>
      <w:bookmarkStart w:id="0" w:name="_GoBack"/>
      <w:bookmarkEnd w:id="0"/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Н.М.Семенова</w:t>
      </w:r>
      <w:proofErr w:type="spellEnd"/>
    </w:p>
    <w:p w:rsidR="004D2978" w:rsidRPr="004D2978" w:rsidRDefault="004D2978" w:rsidP="004D2978">
      <w:pPr>
        <w:shd w:val="clear" w:color="auto" w:fill="FFFFFF"/>
        <w:spacing w:before="375" w:after="225"/>
        <w:jc w:val="both"/>
        <w:textAlignment w:val="baseline"/>
        <w:outlineLvl w:val="1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br w:type="page"/>
      </w:r>
    </w:p>
    <w:p w:rsidR="00087BA7" w:rsidRDefault="00087BA7" w:rsidP="00087BA7">
      <w:pPr>
        <w:shd w:val="clear" w:color="auto" w:fill="FFFFFF"/>
        <w:jc w:val="right"/>
        <w:textAlignment w:val="baseline"/>
        <w:outlineLvl w:val="1"/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к приказу </w:t>
      </w:r>
    </w:p>
    <w:p w:rsidR="00087BA7" w:rsidRDefault="00087BA7" w:rsidP="00087BA7">
      <w:pPr>
        <w:shd w:val="clear" w:color="auto" w:fill="FFFFFF"/>
        <w:jc w:val="right"/>
        <w:textAlignment w:val="baseline"/>
        <w:outlineLvl w:val="1"/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  <w:t>Вилюйского УУО</w:t>
      </w:r>
    </w:p>
    <w:p w:rsidR="00087BA7" w:rsidRPr="00087BA7" w:rsidRDefault="00087BA7" w:rsidP="00087BA7">
      <w:pPr>
        <w:shd w:val="clear" w:color="auto" w:fill="FFFFFF"/>
        <w:jc w:val="right"/>
        <w:textAlignment w:val="baseline"/>
        <w:outlineLvl w:val="1"/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pacing w:val="2"/>
          <w:sz w:val="24"/>
          <w:szCs w:val="24"/>
          <w:lang w:eastAsia="ru-RU"/>
        </w:rPr>
        <w:t>№____ от «___» ______________2020 г.</w:t>
      </w:r>
    </w:p>
    <w:p w:rsidR="00087BA7" w:rsidRDefault="00087BA7" w:rsidP="004D2978">
      <w:pPr>
        <w:shd w:val="clear" w:color="auto" w:fill="FFFFFF"/>
        <w:spacing w:before="375" w:after="225"/>
        <w:jc w:val="both"/>
        <w:textAlignment w:val="baseline"/>
        <w:outlineLvl w:val="1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087BA7" w:rsidRDefault="00087BA7" w:rsidP="00087BA7">
      <w:pPr>
        <w:shd w:val="clear" w:color="auto" w:fill="FFFFFF"/>
        <w:textAlignment w:val="baseline"/>
        <w:outlineLvl w:val="1"/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>ПЛАН МЕРОПРИЯТИЙ</w:t>
      </w:r>
      <w:r w:rsidR="002817F8" w:rsidRPr="002817F8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B32BD1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>«</w:t>
      </w:r>
      <w:r w:rsidR="002817F8" w:rsidRPr="002817F8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>дорожная карта</w:t>
      </w:r>
      <w:r w:rsidR="00B32BD1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>»</w:t>
      </w:r>
      <w:r w:rsidR="002817F8" w:rsidRPr="002817F8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 xml:space="preserve">) </w:t>
      </w:r>
    </w:p>
    <w:p w:rsidR="002817F8" w:rsidRPr="002817F8" w:rsidRDefault="002817F8" w:rsidP="00087BA7">
      <w:pPr>
        <w:shd w:val="clear" w:color="auto" w:fill="FFFFFF"/>
        <w:textAlignment w:val="baseline"/>
        <w:outlineLvl w:val="1"/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 xml:space="preserve">по развитию системы методической работы в </w:t>
      </w:r>
      <w:r w:rsidR="00D11680">
        <w:rPr>
          <w:rFonts w:eastAsia="Times New Roman"/>
          <w:b/>
          <w:color w:val="000000" w:themeColor="text1"/>
          <w:spacing w:val="2"/>
          <w:sz w:val="24"/>
          <w:szCs w:val="24"/>
          <w:lang w:eastAsia="ru-RU"/>
        </w:rPr>
        <w:t>Вилюйском улусе</w:t>
      </w:r>
    </w:p>
    <w:p w:rsidR="00B32BD1" w:rsidRDefault="00B32BD1" w:rsidP="00087BA7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D11680" w:rsidRDefault="002817F8" w:rsidP="00D11680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План мероприятий (</w:t>
      </w:r>
      <w:r w:rsidR="00B32BD1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дорожная карта</w:t>
      </w:r>
      <w:r w:rsidR="00B32BD1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) по развитию системы методической работы в 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Вилюйском улусе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(далее - План) разработан на основании нормативных и программных документов по развитию системы образования Российской Федерации 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и Республики Саха (Якутия) 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для достижения следующих параметров:</w:t>
      </w:r>
    </w:p>
    <w:p w:rsidR="00D11680" w:rsidRDefault="00D11680" w:rsidP="00D11680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D11680" w:rsidRDefault="002817F8" w:rsidP="00D11680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1) обеспечени</w:t>
      </w:r>
      <w:r w:rsid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вхождения Российской Федерации в число 10 ведущих стран мира по качеству общего образования в соответствии с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Указом Президента Российской Федерации от 7 мая 2018 года 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204 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», </w:t>
      </w:r>
    </w:p>
    <w:p w:rsidR="00D11680" w:rsidRDefault="00D11680" w:rsidP="00D11680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2) обеспечени</w:t>
      </w:r>
      <w:r w:rsid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я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вхождения Республики Саха (Якутия) </w:t>
      </w:r>
      <w:r w:rsidRPr="00D11680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 число 15 лучших субъектов Российской Федерации по качеству образования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Указом Главы Республики Саха (Якутия) от 23 ноября 2018 г. №190 «О стратегических направлениях развития образования в Республике Саха (Якутия)».</w:t>
      </w:r>
    </w:p>
    <w:p w:rsidR="002817F8" w:rsidRDefault="00BA7578" w:rsidP="00D11680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) внедрени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национальной системы профессионального роста педагогических работников, охватывающей не менее 50 процентов учителей общеобразовательных организаций, в соответствии с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817F8"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Указом Президента Российской Федерации от 7 мая 2018 года N 204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B5DAD" w:rsidRPr="00BA7578" w:rsidRDefault="00BA7578" w:rsidP="00BA7578">
      <w:pPr>
        <w:shd w:val="clear" w:color="auto" w:fill="FFFFFF"/>
        <w:tabs>
          <w:tab w:val="num" w:pos="720"/>
        </w:tabs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4) о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беспеч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ения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к 2024 году различными формами поддержки и сопровождения в первые три года работы не менее 70% педагогических работников в возрасте до 35 лет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Указом Главы Республики Саха (Якутия) от 23 ноября 2018 г. №190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EB5DAD" w:rsidRPr="00BA7578" w:rsidRDefault="00BA7578" w:rsidP="00BA7578">
      <w:pPr>
        <w:shd w:val="clear" w:color="auto" w:fill="FFFFFF"/>
        <w:tabs>
          <w:tab w:val="num" w:pos="720"/>
        </w:tabs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5) о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беспеч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ения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к 2024 году прохождение добровольной независимой оценки профессиональной квалификации не менее 10% педагогических работников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Указом Главы Республики Саха (Якутия) от 23 ноября 2018 г. №190</w:t>
      </w:r>
      <w:r w:rsidR="00AD0F64" w:rsidRPr="00BA75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D2003" w:rsidRDefault="00AD2003" w:rsidP="00AD2003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6) 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обеспечени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доступности получения качественного образования соответствующего уровня;</w:t>
      </w:r>
    </w:p>
    <w:p w:rsidR="002817F8" w:rsidRPr="002817F8" w:rsidRDefault="00AD2003" w:rsidP="00AD2003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) развитие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кадрового педагогического потенциала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и повышение уровня управленческих компетенций руководителей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образовательных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организаций в соответствии с </w:t>
      </w:r>
      <w:r w:rsidR="002817F8" w:rsidRPr="004D297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основными принципами национальной системы профессионального роста педагогических работников Российской Федерации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D2003" w:rsidRDefault="00AD2003" w:rsidP="00AD2003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834676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Настоящий план разработан для формирования системной аналитической основы для принятия управленческих решений по развитию </w:t>
      </w:r>
      <w:r w:rsidR="00AD2003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системы оценки качества образования в части содействия профессиональному развитию педагогических и руководящих работников.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Для формирования системной аналитической основы принятия управленческих решений, направленных на научно-методическое сопровождение педагогов с целью повышения эффективности и результативности их деятельности, а также быструю их адаптацию, необходимо решить следующие задачи:</w:t>
      </w:r>
    </w:p>
    <w:p w:rsidR="002817F8" w:rsidRPr="002817F8" w:rsidRDefault="00834676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–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обеспечить координацию деятельности методических служб различных уровней для обеспечения методического сопровождения деятельности педагогических и руководящих работников системы образования </w:t>
      </w:r>
      <w:r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Вилюйского района</w:t>
      </w:r>
      <w:r w:rsidR="002817F8"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2) оказывать методическую поддержку педагогическим и руководящим работникам системы образования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Вилюйского улуса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с учетом результатов анализа статистических 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lastRenderedPageBreak/>
        <w:t>данных, мониторингов, выявленных профессиональных дефицитов и потребностей системы образования и образовательной организации;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3) развивать современные формы наставничества и методической поддержки молодых педагогов;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4) способствовать развитию деятельности методических объединений и профессиональных сообществ педагогов;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5) обеспечить выявление и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распространени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ю лучших практик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педагогов Вилюйского улуса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6) обеспечить вариативность профессионального развития педагогических и руководящих работников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функционирования базовых площадок и других методических структур.</w:t>
      </w:r>
    </w:p>
    <w:p w:rsidR="00834676" w:rsidRDefault="00834676" w:rsidP="004D297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Комплексный мониторинг должен обеспечивать выявление, оценку и анализ следующих региональных показателей: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1) по соответствию содержания и организации методической работы специфике образовательных организаций;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2) по наличию системы поддержки молодых педагогов и (или) системы наставничества;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3) по взаимодействию со школьными,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кустовыми и улусными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методическими объединениями и (или) профессиональных сообществ педагогов;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4) по наличию системы аналитической деятельности;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5) по наличию управленческих решений по результатам анализа деятельности школьных,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кустовых и улусных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 методических объединений;</w:t>
      </w:r>
    </w:p>
    <w:p w:rsidR="002817F8" w:rsidRPr="002817F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6) по наличию мониторинга показателей системы методической работы на уровне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как на уровне улуса в целом, так и в образовательной организации в частности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834676" w:rsidRDefault="00834676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</w:p>
    <w:p w:rsidR="002817F8" w:rsidRPr="004D2978" w:rsidRDefault="002817F8" w:rsidP="00834676">
      <w:pPr>
        <w:shd w:val="clear" w:color="auto" w:fill="FFFFFF"/>
        <w:ind w:firstLine="426"/>
        <w:jc w:val="both"/>
        <w:textAlignment w:val="baseline"/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</w:pP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Результаты анализа данных мониторинга, адресные рекомендации, меры и управленческие решения формируются как в целом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по системе образования Вилюйского улуса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 xml:space="preserve">, так и в разрезе </w:t>
      </w:r>
      <w:r w:rsidR="00834676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отдельных образовательных организаций</w:t>
      </w:r>
      <w:r w:rsidRPr="002817F8">
        <w:rPr>
          <w:rFonts w:eastAsia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4D2978" w:rsidRDefault="004D2978">
      <w:pPr>
        <w:rPr>
          <w:rFonts w:eastAsia="Times New Roman"/>
          <w:color w:val="2D2D2D"/>
          <w:spacing w:val="2"/>
          <w:sz w:val="24"/>
          <w:szCs w:val="24"/>
          <w:lang w:eastAsia="ru-RU"/>
        </w:rPr>
        <w:sectPr w:rsidR="004D2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 w:type="page"/>
      </w:r>
    </w:p>
    <w:tbl>
      <w:tblPr>
        <w:tblW w:w="1445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776"/>
        <w:gridCol w:w="2406"/>
        <w:gridCol w:w="3679"/>
      </w:tblGrid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textAlignment w:val="baseline"/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676" w:rsidRDefault="002817F8" w:rsidP="00834676">
            <w:pPr>
              <w:textAlignment w:val="baseline"/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2817F8" w:rsidRPr="002817F8" w:rsidRDefault="002817F8" w:rsidP="00834676">
            <w:pPr>
              <w:textAlignment w:val="baseline"/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  <w:t>(содержание деятельности)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834676" w:rsidP="00834676">
            <w:pPr>
              <w:textAlignment w:val="baseline"/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D2D2D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D47B38" w:rsidRDefault="002817F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Разработка и нормативное закрепление Положения о системе методической работы </w:t>
            </w:r>
            <w:r w:rsidR="00D47B38"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 Вилюйском улусе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B38" w:rsidRDefault="00D47B3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сентябрь</w:t>
            </w:r>
          </w:p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</w:t>
            </w:r>
          </w:p>
          <w:p w:rsidR="00F421CC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Разработка и нормативное закрепление Положения о мониторинге системы методической работы в </w:t>
            </w:r>
            <w:r w:rsidR="00F421CC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Вилюйском улусе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B38" w:rsidRDefault="00D47B3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сентябрь</w:t>
            </w:r>
          </w:p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1CC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</w:t>
            </w:r>
          </w:p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Разработка и нормативное закрепление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муниципальных</w:t>
            </w: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показателей по: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соответствию содержания и организации методической работы специфике образовательных организаций;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наличию системы поддержки молодых педагогов и (или) системы наставничества;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взаимодействию со школьными,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улусными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методическими объединениями и (или) профессиональными сообществами педагогов;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наличию системы аналитической деятельности;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наличию управленческих решений результатам анализа деятельности школьных,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улусных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методических объединений;</w:t>
            </w:r>
          </w:p>
          <w:p w:rsidR="002817F8" w:rsidRPr="00D47B38" w:rsidRDefault="002817F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наличию мониторинга показателей системы методической работы на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школьном, кустовом и улусном уровнях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B38" w:rsidRDefault="00D47B3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октябрь</w:t>
            </w:r>
          </w:p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Н.Е., Петрова Э.С., Васильева Ю.И,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Проведение мониторинга региональной системы методической работы по показателям: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содержания и организации методической работы специфике образовательных организаций;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системы поддержки молодых педагогов и (или) системы наставничества;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взаимодействи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со школьными,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улусными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методическими объединениями и (или) профессиональными сообществами педагогов;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системы аналитической деятельности;</w:t>
            </w:r>
          </w:p>
          <w:p w:rsid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управленческих решений результатам анализа деятельности школьных,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улусных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методических объединений;</w:t>
            </w:r>
          </w:p>
          <w:p w:rsidR="002817F8" w:rsidRPr="002817F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мониторинга показателей системы методической работы на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школьном, кустовом и улусном уровнях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Н.Е., Петрова Э.С., Васильева Ю.И.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Проведение анализа результатов мониторинга системы методической </w:t>
            </w: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работы по показателям: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содержания и организации методической работы специфике образовательных организаций;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системы поддержки молодых педагогов и (или) системы наставничества;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взаимодействи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со школьными,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улусными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методическими объединениями и (или) профессиональными сообществами педагогов;</w:t>
            </w:r>
          </w:p>
          <w:p w:rsidR="00D47B38" w:rsidRP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системы аналитической деятельности;</w:t>
            </w:r>
          </w:p>
          <w:p w:rsidR="00D47B38" w:rsidRDefault="00D47B38" w:rsidP="00D47B38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управленческих решений результатам анализа деятельности школьных,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улусных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методических объединений;</w:t>
            </w:r>
          </w:p>
          <w:p w:rsidR="002817F8" w:rsidRPr="002817F8" w:rsidRDefault="00D47B3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наличи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мониторинга показателей системы методической работы на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школьном, кустовом и улусном уровнях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Григорьева Н.Е., Петрова Э.С.,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Васильева Ю.И.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Подготовка адресных рекомендаций по итогам анализа результатов мониторинга показателей системы методической работы:</w:t>
            </w:r>
          </w:p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организациям дополнительного профессионального образования;</w:t>
            </w:r>
          </w:p>
          <w:p w:rsidR="002817F8" w:rsidRPr="002817F8" w:rsidRDefault="002817F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школьным,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улусным</w:t>
            </w: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методическим объединениям, профессиональным сообществам педагогов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Н.Е., Петрова М.А., Андреева А.П.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Проведение мероприятий, направленных на повышение качества методического сопровождения деятельности педагогов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Н.А., Григорьева Н.Е., Васильева Ю.И.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Проведение заседаний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улусных методических объединений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Специалисты НМО (по кураторству)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Проведение информационно-методических дней, семинаров, семинаров-совещаний, </w:t>
            </w:r>
            <w:proofErr w:type="spellStart"/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по вопросам методической работы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Н.А., специалисты НМО</w:t>
            </w:r>
          </w:p>
        </w:tc>
      </w:tr>
      <w:tr w:rsidR="00D47B38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7B38" w:rsidRPr="002817F8" w:rsidRDefault="00D47B3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7B38" w:rsidRPr="002817F8" w:rsidRDefault="00D47B3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Проведение методических десантов в школы с низкими результатами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7B38" w:rsidRPr="002817F8" w:rsidRDefault="00D47B3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7B38" w:rsidRPr="002817F8" w:rsidRDefault="00D47B3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D47B38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Обеспечение сетевого взаимодействия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улусных</w:t>
            </w: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и школьных методических объединений, профессиональных сообществ по актуальным проблемам образования </w:t>
            </w:r>
            <w:r w:rsidR="00D47B3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через создание портала методической работы Вилюйской школы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D47B3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Н.Е., Сидоров В.А.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D47B38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="00F421CC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занятий и тренингов 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Школы молодого педагога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F421CC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Григорьева Н.Е., </w:t>
            </w:r>
            <w:proofErr w:type="spellStart"/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Иннокентьева</w:t>
            </w:r>
            <w:proofErr w:type="spellEnd"/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Проведение профессионального конкурса молодых педагогов "Педагогический дебют"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F421CC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F8" w:rsidRPr="002817F8" w:rsidRDefault="00F421CC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Григорьева Н.Е., </w:t>
            </w:r>
            <w:proofErr w:type="spellStart"/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Иннокентьева</w:t>
            </w:r>
            <w:proofErr w:type="spellEnd"/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Принятие управленческих решений по результатам проведенного </w:t>
            </w: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анализа, реализованных мер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1CC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</w:t>
            </w:r>
          </w:p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Григорьева Н.Е.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Анализ и оценка эффективности принятых мер по развитию системы методической работы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1CC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</w:t>
            </w:r>
          </w:p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</w:t>
            </w:r>
          </w:p>
        </w:tc>
      </w:tr>
      <w:tr w:rsidR="00473955" w:rsidRPr="002817F8" w:rsidTr="0047395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834676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Анализ и оценка эффективности принятых управленческих решений по результатам проведенного анализа системы методической работы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F8" w:rsidRPr="002817F8" w:rsidRDefault="002817F8" w:rsidP="00473955">
            <w:pPr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817F8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1CC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Филиппова Н.А.</w:t>
            </w:r>
          </w:p>
          <w:p w:rsidR="002817F8" w:rsidRPr="002817F8" w:rsidRDefault="00F421CC" w:rsidP="00F421CC">
            <w:pPr>
              <w:jc w:val="both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Григорьева Н.Е.</w:t>
            </w:r>
          </w:p>
        </w:tc>
      </w:tr>
    </w:tbl>
    <w:p w:rsidR="00AE21F8" w:rsidRPr="002817F8" w:rsidRDefault="00AE21F8" w:rsidP="002817F8">
      <w:pPr>
        <w:jc w:val="both"/>
        <w:rPr>
          <w:sz w:val="24"/>
          <w:szCs w:val="24"/>
        </w:rPr>
      </w:pPr>
    </w:p>
    <w:sectPr w:rsidR="00AE21F8" w:rsidRPr="002817F8" w:rsidSect="0047395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0E"/>
    <w:multiLevelType w:val="hybridMultilevel"/>
    <w:tmpl w:val="FBA22326"/>
    <w:lvl w:ilvl="0" w:tplc="ABF21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84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F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40C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5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AD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44A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1F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2E0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D00B3B"/>
    <w:multiLevelType w:val="hybridMultilevel"/>
    <w:tmpl w:val="1CA64BCC"/>
    <w:lvl w:ilvl="0" w:tplc="AD1EF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8"/>
    <w:rsid w:val="00087BA7"/>
    <w:rsid w:val="002817F8"/>
    <w:rsid w:val="00473955"/>
    <w:rsid w:val="004D2978"/>
    <w:rsid w:val="005945FA"/>
    <w:rsid w:val="00834676"/>
    <w:rsid w:val="00AD0F64"/>
    <w:rsid w:val="00AD2003"/>
    <w:rsid w:val="00AE21F8"/>
    <w:rsid w:val="00B32BD1"/>
    <w:rsid w:val="00BA7578"/>
    <w:rsid w:val="00C560C3"/>
    <w:rsid w:val="00D11680"/>
    <w:rsid w:val="00D47B38"/>
    <w:rsid w:val="00E5653B"/>
    <w:rsid w:val="00EB5DAD"/>
    <w:rsid w:val="00F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7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7F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7F8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F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7F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7F8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17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17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7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7F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7F8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F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7F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7F8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17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17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НМ</cp:lastModifiedBy>
  <cp:revision>5</cp:revision>
  <dcterms:created xsi:type="dcterms:W3CDTF">2020-07-21T02:27:00Z</dcterms:created>
  <dcterms:modified xsi:type="dcterms:W3CDTF">2020-07-23T01:33:00Z</dcterms:modified>
</cp:coreProperties>
</file>