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4E6C" w:rsidRDefault="002A4E6C" w:rsidP="002A4E6C">
      <w:pPr>
        <w:ind w:firstLine="425"/>
        <w:jc w:val="right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ОДОБРЕНО </w:t>
      </w:r>
    </w:p>
    <w:p w:rsidR="002A4E6C" w:rsidRDefault="002A4E6C" w:rsidP="002A4E6C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февральском совещании работников образования </w:t>
      </w:r>
    </w:p>
    <w:p w:rsidR="002A4E6C" w:rsidRDefault="002A4E6C" w:rsidP="002A4E6C">
      <w:pPr>
        <w:ind w:firstLine="425"/>
        <w:jc w:val="right"/>
        <w:rPr>
          <w:sz w:val="24"/>
          <w:szCs w:val="24"/>
        </w:rPr>
      </w:pPr>
      <w:r>
        <w:rPr>
          <w:sz w:val="24"/>
          <w:szCs w:val="24"/>
        </w:rPr>
        <w:t>Вилюйского улуса</w:t>
      </w:r>
    </w:p>
    <w:p w:rsidR="002A4E6C" w:rsidRDefault="002A4E6C" w:rsidP="002A4E6C">
      <w:pPr>
        <w:ind w:firstLine="425"/>
        <w:jc w:val="right"/>
        <w:rPr>
          <w:sz w:val="24"/>
          <w:szCs w:val="24"/>
        </w:rPr>
      </w:pPr>
      <w:r>
        <w:rPr>
          <w:rFonts w:ascii="Source Sans Pro" w:hAnsi="Source Sans Pro"/>
          <w:color w:val="555555"/>
          <w:sz w:val="27"/>
          <w:szCs w:val="27"/>
          <w:shd w:val="clear" w:color="auto" w:fill="FFFFFF"/>
        </w:rPr>
        <w:t> </w:t>
      </w:r>
      <w:r w:rsidRPr="002A4E6C">
        <w:rPr>
          <w:sz w:val="24"/>
          <w:szCs w:val="24"/>
        </w:rPr>
        <w:t xml:space="preserve">«Система методической работы </w:t>
      </w:r>
    </w:p>
    <w:p w:rsidR="002A4E6C" w:rsidRDefault="002A4E6C" w:rsidP="002A4E6C">
      <w:pPr>
        <w:ind w:firstLine="425"/>
        <w:jc w:val="right"/>
        <w:rPr>
          <w:sz w:val="24"/>
          <w:szCs w:val="24"/>
        </w:rPr>
      </w:pPr>
      <w:r w:rsidRPr="002A4E6C">
        <w:rPr>
          <w:sz w:val="24"/>
          <w:szCs w:val="24"/>
        </w:rPr>
        <w:t>как фактор повышения качества образования»</w:t>
      </w:r>
    </w:p>
    <w:p w:rsidR="002A4E6C" w:rsidRPr="002A4E6C" w:rsidRDefault="002A4E6C" w:rsidP="002A4E6C">
      <w:pPr>
        <w:ind w:firstLine="426"/>
        <w:jc w:val="right"/>
        <w:rPr>
          <w:sz w:val="24"/>
          <w:szCs w:val="24"/>
        </w:rPr>
      </w:pPr>
      <w:r>
        <w:rPr>
          <w:sz w:val="24"/>
          <w:szCs w:val="24"/>
        </w:rPr>
        <w:t>8-9 февраля 2021 года</w:t>
      </w:r>
    </w:p>
    <w:p w:rsidR="002A4E6C" w:rsidRDefault="002A4E6C" w:rsidP="007E0BC7">
      <w:pPr>
        <w:ind w:firstLine="426"/>
        <w:jc w:val="both"/>
      </w:pPr>
    </w:p>
    <w:p w:rsidR="002A4E6C" w:rsidRDefault="002A4E6C" w:rsidP="007E0BC7">
      <w:pPr>
        <w:ind w:firstLine="426"/>
        <w:jc w:val="both"/>
      </w:pPr>
    </w:p>
    <w:p w:rsidR="002A4E6C" w:rsidRPr="002A4E6C" w:rsidRDefault="002A4E6C" w:rsidP="002A4E6C">
      <w:pPr>
        <w:rPr>
          <w:b/>
        </w:rPr>
      </w:pPr>
      <w:r w:rsidRPr="002A4E6C">
        <w:rPr>
          <w:b/>
        </w:rPr>
        <w:t>ПУБЛИЧНЫЙ ОТЧЕТ</w:t>
      </w:r>
    </w:p>
    <w:p w:rsidR="002A4E6C" w:rsidRDefault="002A4E6C" w:rsidP="002A4E6C">
      <w:pPr>
        <w:rPr>
          <w:b/>
        </w:rPr>
      </w:pPr>
      <w:r w:rsidRPr="002A4E6C">
        <w:rPr>
          <w:b/>
        </w:rPr>
        <w:t xml:space="preserve">начальника МКУ «Вилюйское улусное управление образованием» </w:t>
      </w:r>
    </w:p>
    <w:p w:rsidR="002A4E6C" w:rsidRPr="002A4E6C" w:rsidRDefault="002A4E6C" w:rsidP="002A4E6C">
      <w:pPr>
        <w:rPr>
          <w:b/>
        </w:rPr>
      </w:pPr>
      <w:r w:rsidRPr="002A4E6C">
        <w:rPr>
          <w:b/>
        </w:rPr>
        <w:t>за 2020 год</w:t>
      </w:r>
    </w:p>
    <w:p w:rsidR="002A4E6C" w:rsidRDefault="008120A7" w:rsidP="007E0BC7">
      <w:pPr>
        <w:ind w:firstLine="426"/>
        <w:jc w:val="both"/>
      </w:pPr>
      <w:r>
        <w:t>Деятельность Вилюйского УУО и образовательных организаций Вилюйского улуса в 2020 году было направлено на реализацию основных целей и задач</w:t>
      </w:r>
      <w:r w:rsidR="00FD1DEA">
        <w:t>, указанных в</w:t>
      </w:r>
      <w:r>
        <w:t>:</w:t>
      </w:r>
    </w:p>
    <w:p w:rsidR="00FD1DEA" w:rsidRPr="00FD1DEA" w:rsidRDefault="00FD1DEA" w:rsidP="00FD1DE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Стратеги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</w:t>
      </w: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развития воспитания в Российской Федерации на период до 2025 года;</w:t>
      </w:r>
    </w:p>
    <w:p w:rsidR="00FD1DEA" w:rsidRPr="00FD1DEA" w:rsidRDefault="00FD1DEA" w:rsidP="00FD1DEA">
      <w:pPr>
        <w:pStyle w:val="ConsPlusTitle"/>
        <w:widowControl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FD1DEA">
        <w:rPr>
          <w:b w:val="0"/>
          <w:bCs w:val="0"/>
          <w:sz w:val="28"/>
          <w:szCs w:val="28"/>
        </w:rPr>
        <w:t>Указ</w:t>
      </w:r>
      <w:r>
        <w:rPr>
          <w:b w:val="0"/>
          <w:bCs w:val="0"/>
          <w:sz w:val="28"/>
          <w:szCs w:val="28"/>
        </w:rPr>
        <w:t>е</w:t>
      </w:r>
      <w:r w:rsidRPr="00FD1DEA">
        <w:rPr>
          <w:b w:val="0"/>
          <w:bCs w:val="0"/>
          <w:sz w:val="28"/>
          <w:szCs w:val="28"/>
        </w:rPr>
        <w:t xml:space="preserve"> Президента РФ от 7 мая 2012г. №599 «О мерах по реализации государственной политики в области образования и науки»;</w:t>
      </w:r>
    </w:p>
    <w:p w:rsidR="00FD1DEA" w:rsidRPr="00FD1DEA" w:rsidRDefault="00FD1DEA" w:rsidP="00FD1DEA">
      <w:pPr>
        <w:pStyle w:val="ConsPlusTitle"/>
        <w:widowControl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FD1DEA">
        <w:rPr>
          <w:b w:val="0"/>
          <w:bCs w:val="0"/>
          <w:sz w:val="28"/>
          <w:szCs w:val="28"/>
        </w:rPr>
        <w:t>Указ</w:t>
      </w:r>
      <w:r>
        <w:rPr>
          <w:b w:val="0"/>
          <w:bCs w:val="0"/>
          <w:sz w:val="28"/>
          <w:szCs w:val="28"/>
        </w:rPr>
        <w:t>е</w:t>
      </w:r>
      <w:r w:rsidRPr="00FD1DEA">
        <w:rPr>
          <w:b w:val="0"/>
          <w:bCs w:val="0"/>
          <w:sz w:val="28"/>
          <w:szCs w:val="28"/>
        </w:rPr>
        <w:t xml:space="preserve"> Президента РФ от 29 мая 2017 г №240 «Об объявлении в Российской Федерации Десятилетия детства»;</w:t>
      </w:r>
    </w:p>
    <w:p w:rsidR="00FD1DEA" w:rsidRPr="00FD1DEA" w:rsidRDefault="00FD1DEA" w:rsidP="00FD1DEA">
      <w:pPr>
        <w:pStyle w:val="ConsPlusTitle"/>
        <w:widowControl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FD1DEA">
        <w:rPr>
          <w:b w:val="0"/>
          <w:bCs w:val="0"/>
          <w:sz w:val="28"/>
          <w:szCs w:val="28"/>
        </w:rPr>
        <w:t>Указ</w:t>
      </w:r>
      <w:r>
        <w:rPr>
          <w:b w:val="0"/>
          <w:bCs w:val="0"/>
          <w:sz w:val="28"/>
          <w:szCs w:val="28"/>
        </w:rPr>
        <w:t>е</w:t>
      </w:r>
      <w:r w:rsidRPr="00FD1DEA">
        <w:rPr>
          <w:b w:val="0"/>
          <w:bCs w:val="0"/>
          <w:sz w:val="28"/>
          <w:szCs w:val="28"/>
        </w:rPr>
        <w:t xml:space="preserve"> Президента РФ от 21.07.2020 №474 «О национальных целях развития Российской Федерации на период до 2030 года»</w:t>
      </w:r>
    </w:p>
    <w:p w:rsidR="00FD1DEA" w:rsidRPr="00FD1DEA" w:rsidRDefault="00FD1DEA" w:rsidP="00FD1DEA">
      <w:pPr>
        <w:pStyle w:val="ConsPlusTitle"/>
        <w:widowControl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FD1DEA">
        <w:rPr>
          <w:b w:val="0"/>
          <w:bCs w:val="0"/>
          <w:sz w:val="28"/>
          <w:szCs w:val="28"/>
        </w:rPr>
        <w:t>Национальн</w:t>
      </w:r>
      <w:r>
        <w:rPr>
          <w:b w:val="0"/>
          <w:bCs w:val="0"/>
          <w:sz w:val="28"/>
          <w:szCs w:val="28"/>
        </w:rPr>
        <w:t>ом</w:t>
      </w:r>
      <w:r w:rsidRPr="00FD1DEA">
        <w:rPr>
          <w:b w:val="0"/>
          <w:bCs w:val="0"/>
          <w:sz w:val="28"/>
          <w:szCs w:val="28"/>
        </w:rPr>
        <w:t xml:space="preserve"> проект</w:t>
      </w:r>
      <w:r>
        <w:rPr>
          <w:b w:val="0"/>
          <w:bCs w:val="0"/>
          <w:sz w:val="28"/>
          <w:szCs w:val="28"/>
        </w:rPr>
        <w:t>е</w:t>
      </w:r>
      <w:r w:rsidRPr="00FD1DEA">
        <w:rPr>
          <w:b w:val="0"/>
          <w:bCs w:val="0"/>
          <w:sz w:val="28"/>
          <w:szCs w:val="28"/>
        </w:rPr>
        <w:t xml:space="preserve"> «Образование» на период до 2024 года;</w:t>
      </w:r>
    </w:p>
    <w:p w:rsidR="00FD1DEA" w:rsidRPr="00FD1DEA" w:rsidRDefault="00FD1DEA" w:rsidP="00FD1DEA">
      <w:pPr>
        <w:pStyle w:val="ConsPlusTitle"/>
        <w:widowControl/>
        <w:numPr>
          <w:ilvl w:val="0"/>
          <w:numId w:val="16"/>
        </w:numPr>
        <w:jc w:val="both"/>
        <w:rPr>
          <w:b w:val="0"/>
          <w:bCs w:val="0"/>
          <w:sz w:val="28"/>
          <w:szCs w:val="28"/>
        </w:rPr>
      </w:pPr>
      <w:r w:rsidRPr="00FD1DEA">
        <w:rPr>
          <w:b w:val="0"/>
          <w:bCs w:val="0"/>
          <w:sz w:val="28"/>
          <w:szCs w:val="28"/>
        </w:rPr>
        <w:t>Государственн</w:t>
      </w:r>
      <w:r>
        <w:rPr>
          <w:b w:val="0"/>
          <w:bCs w:val="0"/>
          <w:sz w:val="28"/>
          <w:szCs w:val="28"/>
        </w:rPr>
        <w:t>ой</w:t>
      </w:r>
      <w:r w:rsidRPr="00FD1DEA">
        <w:rPr>
          <w:b w:val="0"/>
          <w:bCs w:val="0"/>
          <w:sz w:val="28"/>
          <w:szCs w:val="28"/>
        </w:rPr>
        <w:t xml:space="preserve"> программ</w:t>
      </w:r>
      <w:r>
        <w:rPr>
          <w:b w:val="0"/>
          <w:bCs w:val="0"/>
          <w:sz w:val="28"/>
          <w:szCs w:val="28"/>
        </w:rPr>
        <w:t>е</w:t>
      </w:r>
      <w:r w:rsidRPr="00FD1DEA">
        <w:rPr>
          <w:b w:val="0"/>
          <w:bCs w:val="0"/>
          <w:sz w:val="28"/>
          <w:szCs w:val="28"/>
        </w:rPr>
        <w:t xml:space="preserve"> РФ «Развитие образования» на 2019-2025 годы;</w:t>
      </w:r>
    </w:p>
    <w:p w:rsidR="00FD1DEA" w:rsidRDefault="00FD1DEA" w:rsidP="00FD1DE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Государственн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ой</w:t>
      </w: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</w:t>
      </w: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РС (Я) «Развитие образования РС (Я) на 2020-2024 годы и на плановый период до 2026 года»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FD1DEA" w:rsidRPr="00FD1DEA" w:rsidRDefault="00FD1DEA" w:rsidP="00FD1DEA">
      <w:pPr>
        <w:pStyle w:val="a8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FD1DEA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Указе Главы республики №190 «О стратегических направлениях развития образования в Республике Саха (Якутия)»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:rsidR="008120A7" w:rsidRPr="00FD1DEA" w:rsidRDefault="008120A7" w:rsidP="00C83F9B">
      <w:pPr>
        <w:ind w:firstLine="426"/>
        <w:jc w:val="both"/>
      </w:pPr>
    </w:p>
    <w:p w:rsidR="002A4E6C" w:rsidRPr="00C83F9B" w:rsidRDefault="002A4E6C" w:rsidP="00C83F9B">
      <w:pPr>
        <w:ind w:firstLine="426"/>
        <w:jc w:val="both"/>
      </w:pPr>
      <w:r w:rsidRPr="00C83F9B">
        <w:t>В 2020 году проведен первый этап упорядочения сети образовательных организаций Вилюйского улуса. Так</w:t>
      </w:r>
      <w:r w:rsidR="00C83F9B" w:rsidRPr="00C83F9B">
        <w:t>им</w:t>
      </w:r>
      <w:r w:rsidRPr="00C83F9B">
        <w:t xml:space="preserve"> образом, в системе Вилюйского улуса действуют 27 дошкольных образовательных учреждения (сокращение числа ДОУ за счет объединения со школами: 6 общеобразовательных учреждения с дошкольными группами)</w:t>
      </w:r>
      <w:r w:rsidR="00C83F9B" w:rsidRPr="00C83F9B">
        <w:t xml:space="preserve">, </w:t>
      </w:r>
      <w:r w:rsidRPr="00C83F9B">
        <w:t>26 общеобразовательных школ, в т.ч. 2 школы, реализующие программу начального общего образования, 1 – основного общего образования, Вилюйская гимназия им.И.Л.Кондакова, 3 учреждения дополнительного образования, подведомственных Вилюйскому улусному управлению образования</w:t>
      </w:r>
      <w:r w:rsidR="00C83F9B" w:rsidRPr="00C83F9B">
        <w:t>.</w:t>
      </w:r>
      <w:r w:rsidRPr="00C83F9B">
        <w:t xml:space="preserve"> На территории района функциониру</w:t>
      </w:r>
      <w:r w:rsidR="00C83F9B" w:rsidRPr="00C83F9B">
        <w:t>ю</w:t>
      </w:r>
      <w:r w:rsidRPr="00C83F9B">
        <w:t>т 4 интерната общеобразовательных школ и 1 интернат ДЮСШ.</w:t>
      </w:r>
      <w:r w:rsidR="00C83F9B" w:rsidRPr="00C83F9B">
        <w:t xml:space="preserve"> </w:t>
      </w:r>
      <w:r w:rsidRPr="00C83F9B">
        <w:t>13 школ являются в соответствии с постановлением Правительства РС (Я) малокомплектными.</w:t>
      </w:r>
    </w:p>
    <w:p w:rsidR="002A4E6C" w:rsidRDefault="002A4E6C" w:rsidP="007E0BC7">
      <w:pPr>
        <w:ind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48"/>
        <w:gridCol w:w="2551"/>
        <w:gridCol w:w="2546"/>
      </w:tblGrid>
      <w:tr w:rsidR="00C83F9B" w:rsidRPr="00C83F9B" w:rsidTr="00C83F9B">
        <w:tc>
          <w:tcPr>
            <w:tcW w:w="4248" w:type="dxa"/>
          </w:tcPr>
          <w:p w:rsidR="00C83F9B" w:rsidRPr="00C83F9B" w:rsidRDefault="00C83F9B" w:rsidP="007E0BC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 w:rsidRPr="00C83F9B">
              <w:rPr>
                <w:sz w:val="24"/>
                <w:szCs w:val="24"/>
              </w:rPr>
              <w:t>Численность воспитанников, обучающихся</w:t>
            </w:r>
          </w:p>
        </w:tc>
        <w:tc>
          <w:tcPr>
            <w:tcW w:w="2546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 w:rsidRPr="00C83F9B">
              <w:rPr>
                <w:sz w:val="24"/>
                <w:szCs w:val="24"/>
              </w:rPr>
              <w:t>Численность педагогов</w:t>
            </w:r>
          </w:p>
        </w:tc>
      </w:tr>
      <w:tr w:rsidR="00C83F9B" w:rsidRPr="00C83F9B" w:rsidTr="00C83F9B">
        <w:tc>
          <w:tcPr>
            <w:tcW w:w="4248" w:type="dxa"/>
          </w:tcPr>
          <w:p w:rsidR="00C83F9B" w:rsidRPr="00C83F9B" w:rsidRDefault="00C83F9B" w:rsidP="007E0BC7">
            <w:pPr>
              <w:jc w:val="both"/>
              <w:rPr>
                <w:sz w:val="24"/>
                <w:szCs w:val="24"/>
              </w:rPr>
            </w:pPr>
            <w:r w:rsidRPr="00C83F9B">
              <w:rPr>
                <w:sz w:val="24"/>
                <w:szCs w:val="24"/>
              </w:rPr>
              <w:lastRenderedPageBreak/>
              <w:t>Дошкольные образовательные учреждения</w:t>
            </w:r>
          </w:p>
        </w:tc>
        <w:tc>
          <w:tcPr>
            <w:tcW w:w="2551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2161</w:t>
            </w:r>
          </w:p>
        </w:tc>
        <w:tc>
          <w:tcPr>
            <w:tcW w:w="2546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</w:t>
            </w:r>
          </w:p>
        </w:tc>
      </w:tr>
      <w:tr w:rsidR="00C83F9B" w:rsidRPr="00C83F9B" w:rsidTr="00C83F9B">
        <w:tc>
          <w:tcPr>
            <w:tcW w:w="4248" w:type="dxa"/>
          </w:tcPr>
          <w:p w:rsidR="00C83F9B" w:rsidRPr="00C83F9B" w:rsidRDefault="00C83F9B" w:rsidP="007E0BC7">
            <w:pPr>
              <w:jc w:val="both"/>
              <w:rPr>
                <w:sz w:val="24"/>
                <w:szCs w:val="24"/>
              </w:rPr>
            </w:pPr>
            <w:r w:rsidRPr="00C83F9B">
              <w:rPr>
                <w:sz w:val="24"/>
                <w:szCs w:val="24"/>
              </w:rPr>
              <w:t>Общеобразовательные учреждения</w:t>
            </w:r>
          </w:p>
        </w:tc>
        <w:tc>
          <w:tcPr>
            <w:tcW w:w="2551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4189</w:t>
            </w:r>
          </w:p>
        </w:tc>
        <w:tc>
          <w:tcPr>
            <w:tcW w:w="2546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849</w:t>
            </w:r>
          </w:p>
        </w:tc>
      </w:tr>
      <w:tr w:rsidR="00C83F9B" w:rsidRPr="00C83F9B" w:rsidTr="00C83F9B">
        <w:tc>
          <w:tcPr>
            <w:tcW w:w="4248" w:type="dxa"/>
          </w:tcPr>
          <w:p w:rsidR="00C83F9B" w:rsidRPr="00C83F9B" w:rsidRDefault="00C83F9B" w:rsidP="007E0BC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Учреждения дополнительного образования</w:t>
            </w:r>
          </w:p>
        </w:tc>
        <w:tc>
          <w:tcPr>
            <w:tcW w:w="2551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2779</w:t>
            </w:r>
          </w:p>
        </w:tc>
        <w:tc>
          <w:tcPr>
            <w:tcW w:w="2546" w:type="dxa"/>
          </w:tcPr>
          <w:p w:rsidR="00C83F9B" w:rsidRP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</w:tr>
    </w:tbl>
    <w:p w:rsidR="00C83F9B" w:rsidRDefault="00C83F9B" w:rsidP="007E0BC7">
      <w:pPr>
        <w:ind w:firstLine="426"/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72"/>
        <w:gridCol w:w="2126"/>
        <w:gridCol w:w="2126"/>
        <w:gridCol w:w="2127"/>
      </w:tblGrid>
      <w:tr w:rsidR="00C83F9B" w:rsidRPr="004A2EBC" w:rsidTr="00C83F9B">
        <w:trPr>
          <w:trHeight w:val="331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b/>
                <w:bCs/>
                <w:sz w:val="24"/>
                <w:szCs w:val="24"/>
              </w:rPr>
              <w:t>2019/2020</w:t>
            </w:r>
          </w:p>
        </w:tc>
      </w:tr>
      <w:tr w:rsidR="00C83F9B" w:rsidRPr="004A2EBC" w:rsidTr="00C83F9B">
        <w:trPr>
          <w:trHeight w:val="282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jc w:val="left"/>
              <w:rPr>
                <w:sz w:val="24"/>
                <w:szCs w:val="24"/>
              </w:rPr>
            </w:pPr>
            <w:r w:rsidRPr="00F63AFC">
              <w:rPr>
                <w:bCs/>
                <w:sz w:val="24"/>
                <w:szCs w:val="24"/>
              </w:rPr>
              <w:t>Успеваемость (средние показатели по улусу)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99,0%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99,6%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99,9%</w:t>
            </w:r>
          </w:p>
        </w:tc>
      </w:tr>
      <w:tr w:rsidR="00C83F9B" w:rsidRPr="004A2EBC" w:rsidTr="00C83F9B">
        <w:trPr>
          <w:trHeight w:val="231"/>
        </w:trPr>
        <w:tc>
          <w:tcPr>
            <w:tcW w:w="2972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jc w:val="left"/>
              <w:rPr>
                <w:sz w:val="24"/>
                <w:szCs w:val="24"/>
              </w:rPr>
            </w:pPr>
            <w:r w:rsidRPr="00F63AFC">
              <w:rPr>
                <w:bCs/>
                <w:sz w:val="24"/>
                <w:szCs w:val="24"/>
              </w:rPr>
              <w:t>Качество (средние показатели по улусу)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45,6%</w:t>
            </w:r>
          </w:p>
        </w:tc>
        <w:tc>
          <w:tcPr>
            <w:tcW w:w="212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56,0%</w:t>
            </w:r>
          </w:p>
        </w:tc>
        <w:tc>
          <w:tcPr>
            <w:tcW w:w="212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F63AFC" w:rsidRDefault="00C83F9B" w:rsidP="00C83F9B">
            <w:pPr>
              <w:rPr>
                <w:sz w:val="24"/>
                <w:szCs w:val="24"/>
              </w:rPr>
            </w:pPr>
            <w:r w:rsidRPr="00F63AFC">
              <w:rPr>
                <w:sz w:val="24"/>
                <w:szCs w:val="24"/>
              </w:rPr>
              <w:t>60,1%</w:t>
            </w:r>
          </w:p>
        </w:tc>
      </w:tr>
    </w:tbl>
    <w:p w:rsidR="00C83F9B" w:rsidRDefault="00C83F9B" w:rsidP="007E0BC7">
      <w:pPr>
        <w:ind w:firstLine="426"/>
        <w:jc w:val="both"/>
      </w:pPr>
    </w:p>
    <w:p w:rsidR="00C83F9B" w:rsidRDefault="00C83F9B" w:rsidP="00C83F9B">
      <w:pPr>
        <w:ind w:firstLine="426"/>
        <w:jc w:val="both"/>
      </w:pPr>
      <w:r w:rsidRPr="00AB1253">
        <w:rPr>
          <w:b/>
        </w:rPr>
        <w:t>Профильное обучение</w:t>
      </w:r>
      <w:r>
        <w:t>:</w:t>
      </w:r>
    </w:p>
    <w:tbl>
      <w:tblPr>
        <w:tblW w:w="9405" w:type="dxa"/>
        <w:jc w:val="center"/>
        <w:tblLook w:val="04A0" w:firstRow="1" w:lastRow="0" w:firstColumn="1" w:lastColumn="0" w:noHBand="0" w:noVBand="1"/>
      </w:tblPr>
      <w:tblGrid>
        <w:gridCol w:w="1418"/>
        <w:gridCol w:w="2242"/>
        <w:gridCol w:w="1654"/>
        <w:gridCol w:w="1293"/>
        <w:gridCol w:w="1399"/>
        <w:gridCol w:w="1399"/>
      </w:tblGrid>
      <w:tr w:rsidR="00C83F9B" w:rsidRPr="00E039C3" w:rsidTr="00C83F9B">
        <w:trPr>
          <w:trHeight w:val="300"/>
          <w:jc w:val="center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Школа</w:t>
            </w:r>
          </w:p>
        </w:tc>
        <w:tc>
          <w:tcPr>
            <w:tcW w:w="2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Название профиля</w:t>
            </w:r>
          </w:p>
        </w:tc>
        <w:tc>
          <w:tcPr>
            <w:tcW w:w="1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Профильные предметы</w:t>
            </w:r>
          </w:p>
        </w:tc>
        <w:tc>
          <w:tcPr>
            <w:tcW w:w="1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Количество отведенных часов на изучение профильных предметов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Количество обучающихся в профильных классах</w:t>
            </w:r>
          </w:p>
        </w:tc>
        <w:tc>
          <w:tcPr>
            <w:tcW w:w="1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sz w:val="20"/>
                <w:szCs w:val="20"/>
                <w:lang w:eastAsia="ru-RU"/>
              </w:rPr>
              <w:t>Доля обучающихся в профильных классах от общего количество обучающихся</w:t>
            </w:r>
          </w:p>
        </w:tc>
      </w:tr>
      <w:tr w:rsidR="00C83F9B" w:rsidRPr="00E039C3" w:rsidTr="00C83F9B">
        <w:trPr>
          <w:trHeight w:val="1500"/>
          <w:jc w:val="center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C83F9B" w:rsidRPr="00E039C3" w:rsidTr="00C83F9B">
        <w:trPr>
          <w:trHeight w:val="1275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ВСОШ №1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9,8</w:t>
            </w:r>
          </w:p>
        </w:tc>
      </w:tr>
      <w:tr w:rsidR="00C83F9B" w:rsidRPr="00E039C3" w:rsidTr="00C83F9B">
        <w:trPr>
          <w:trHeight w:val="765"/>
          <w:jc w:val="center"/>
        </w:trPr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4,4</w:t>
            </w:r>
          </w:p>
        </w:tc>
      </w:tr>
      <w:tr w:rsidR="00C83F9B" w:rsidRPr="00E039C3" w:rsidTr="00C83F9B">
        <w:trPr>
          <w:trHeight w:val="510"/>
          <w:jc w:val="center"/>
        </w:trPr>
        <w:tc>
          <w:tcPr>
            <w:tcW w:w="141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Вилюйская гимназия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ФИЗИКО-МАТЕМАТИЧЕКИЙ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7,4</w:t>
            </w:r>
          </w:p>
        </w:tc>
      </w:tr>
      <w:tr w:rsidR="00C83F9B" w:rsidRPr="00E039C3" w:rsidTr="00C83F9B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Русский язык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7,9</w:t>
            </w:r>
          </w:p>
        </w:tc>
      </w:tr>
      <w:tr w:rsidR="00C83F9B" w:rsidTr="00C83F9B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ФИЗИКО-МАТЕМАТИЧЕСКИЙ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Физика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3,3</w:t>
            </w:r>
          </w:p>
        </w:tc>
      </w:tr>
      <w:tr w:rsidR="00C83F9B" w:rsidTr="00C83F9B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ЕСТЕСТВЕННО-НАУЧНЫЙ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Химия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2,5</w:t>
            </w:r>
          </w:p>
        </w:tc>
      </w:tr>
      <w:tr w:rsidR="00C83F9B" w:rsidTr="00C83F9B">
        <w:trPr>
          <w:trHeight w:val="765"/>
          <w:jc w:val="center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СОЦИАЛЬНО-ГУМАНИТАРНЫЙ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Литература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История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Обществознание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Эконом и право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4,1</w:t>
            </w:r>
          </w:p>
        </w:tc>
      </w:tr>
      <w:tr w:rsidR="00C83F9B" w:rsidRPr="00E039C3" w:rsidTr="00C83F9B">
        <w:trPr>
          <w:trHeight w:val="765"/>
          <w:jc w:val="center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Борогонская СОШ</w:t>
            </w:r>
          </w:p>
        </w:tc>
        <w:tc>
          <w:tcPr>
            <w:tcW w:w="2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Агрономия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Сельхозмашины и автодело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Экология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87,5</w:t>
            </w:r>
          </w:p>
        </w:tc>
      </w:tr>
      <w:tr w:rsidR="00C83F9B" w:rsidRPr="00E039C3" w:rsidTr="00C83F9B">
        <w:trPr>
          <w:trHeight w:val="1145"/>
          <w:jc w:val="center"/>
        </w:trPr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3F9B" w:rsidRPr="00E039C3" w:rsidRDefault="00C83F9B" w:rsidP="00C83F9B">
            <w:pPr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E039C3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Халбакинская СОШ</w:t>
            </w:r>
          </w:p>
        </w:tc>
        <w:tc>
          <w:tcPr>
            <w:tcW w:w="2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АГРО</w:t>
            </w:r>
          </w:p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ТЕХНОЛОГИЧЕСКИЙ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F9B" w:rsidRPr="00E039C3" w:rsidRDefault="00C83F9B" w:rsidP="00C83F9B">
            <w:pPr>
              <w:rPr>
                <w:rFonts w:eastAsia="Times New Roman"/>
                <w:sz w:val="20"/>
                <w:szCs w:val="20"/>
                <w:lang w:eastAsia="ru-RU"/>
              </w:rPr>
            </w:pPr>
            <w:r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</w:tr>
    </w:tbl>
    <w:p w:rsidR="00C83F9B" w:rsidRDefault="00C83F9B" w:rsidP="00C83F9B"/>
    <w:p w:rsidR="00C83F9B" w:rsidRPr="00C73746" w:rsidRDefault="00C83F9B" w:rsidP="00C83F9B">
      <w:pPr>
        <w:ind w:firstLine="426"/>
        <w:jc w:val="both"/>
        <w:rPr>
          <w:b/>
        </w:rPr>
      </w:pPr>
      <w:r w:rsidRPr="00C73746">
        <w:rPr>
          <w:b/>
        </w:rPr>
        <w:t>Дуальное образование</w:t>
      </w:r>
    </w:p>
    <w:tbl>
      <w:tblPr>
        <w:tblStyle w:val="1"/>
        <w:tblW w:w="9498" w:type="dxa"/>
        <w:tblInd w:w="-147" w:type="dxa"/>
        <w:tblLook w:val="04A0" w:firstRow="1" w:lastRow="0" w:firstColumn="1" w:lastColumn="0" w:noHBand="0" w:noVBand="1"/>
      </w:tblPr>
      <w:tblGrid>
        <w:gridCol w:w="1782"/>
        <w:gridCol w:w="1908"/>
        <w:gridCol w:w="1001"/>
        <w:gridCol w:w="980"/>
        <w:gridCol w:w="1726"/>
        <w:gridCol w:w="2101"/>
      </w:tblGrid>
      <w:tr w:rsidR="00C83F9B" w:rsidRPr="00E039C3" w:rsidTr="00C83F9B">
        <w:trPr>
          <w:cantSplit/>
          <w:trHeight w:val="2934"/>
        </w:trPr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Школа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Перечень профессий по которым осуществляется дуальное образование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Из них по лицензии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Кол-во обучающихся, получивших документы государственного образца</w:t>
            </w:r>
          </w:p>
        </w:tc>
        <w:tc>
          <w:tcPr>
            <w:tcW w:w="2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  <w:hideMark/>
          </w:tcPr>
          <w:p w:rsidR="00C83F9B" w:rsidRPr="00E039C3" w:rsidRDefault="00C83F9B" w:rsidP="00C83F9B">
            <w:pPr>
              <w:ind w:left="113" w:right="113"/>
              <w:rPr>
                <w:rFonts w:ascii="Times New Roman" w:hAnsi="Times New Roman"/>
                <w:b/>
                <w:sz w:val="24"/>
                <w:szCs w:val="24"/>
              </w:rPr>
            </w:pPr>
            <w:r w:rsidRPr="00E039C3">
              <w:rPr>
                <w:rFonts w:ascii="Times New Roman" w:hAnsi="Times New Roman"/>
                <w:b/>
                <w:sz w:val="24"/>
                <w:szCs w:val="24"/>
              </w:rPr>
              <w:t>Интеграция с учреждения проф образования</w:t>
            </w:r>
          </w:p>
        </w:tc>
      </w:tr>
      <w:tr w:rsidR="00C83F9B" w:rsidRPr="00E039C3" w:rsidTr="00C83F9B">
        <w:tc>
          <w:tcPr>
            <w:tcW w:w="17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3F9B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Лекеченская СОШ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категории В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0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Вилюйский профессионально-педагогический колледж</w:t>
            </w:r>
          </w:p>
        </w:tc>
      </w:tr>
      <w:tr w:rsidR="00C83F9B" w:rsidRPr="00E039C3" w:rsidTr="00C83F9B">
        <w:tc>
          <w:tcPr>
            <w:tcW w:w="1782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Борогонская СОШ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Агрономия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9B" w:rsidRPr="00E039C3" w:rsidTr="00C83F9B"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Сельхозмашины  и автодело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39C3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83F9B" w:rsidRPr="00E039C3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101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Pr="00E039C3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9B" w:rsidRPr="00E039C3" w:rsidTr="00C83F9B">
        <w:tc>
          <w:tcPr>
            <w:tcW w:w="1782" w:type="dxa"/>
            <w:vMerge w:val="restart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Вилюйская СОШ №3</w:t>
            </w: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Водитель категории В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10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3F9B" w:rsidRPr="00E039C3" w:rsidTr="00C83F9B">
        <w:tc>
          <w:tcPr>
            <w:tcW w:w="178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Портной</w:t>
            </w:r>
          </w:p>
        </w:tc>
        <w:tc>
          <w:tcPr>
            <w:tcW w:w="10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3746">
              <w:rPr>
                <w:rFonts w:ascii="Times New Roman" w:hAnsi="Times New Roman"/>
                <w:sz w:val="24"/>
                <w:szCs w:val="24"/>
              </w:rPr>
              <w:t>Да</w:t>
            </w:r>
          </w:p>
        </w:tc>
        <w:tc>
          <w:tcPr>
            <w:tcW w:w="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0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3F9B" w:rsidRPr="00C73746" w:rsidRDefault="00C83F9B" w:rsidP="00C83F9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3F9B" w:rsidRDefault="00C83F9B" w:rsidP="00C83F9B">
      <w:pPr>
        <w:ind w:firstLine="426"/>
        <w:jc w:val="both"/>
      </w:pPr>
    </w:p>
    <w:p w:rsidR="00C83F9B" w:rsidRDefault="00C83F9B" w:rsidP="00C83F9B">
      <w:pPr>
        <w:ind w:firstLine="426"/>
        <w:jc w:val="both"/>
      </w:pPr>
      <w:r w:rsidRPr="00C73746">
        <w:rPr>
          <w:b/>
        </w:rPr>
        <w:t>Промежуточная аттестация</w:t>
      </w:r>
      <w:r>
        <w:t>. Преобладающее количество</w:t>
      </w:r>
      <w:r w:rsidRPr="00C73746">
        <w:t xml:space="preserve"> образовательных организаций </w:t>
      </w:r>
      <w:r>
        <w:t xml:space="preserve">Вилюйского района </w:t>
      </w:r>
      <w:r w:rsidRPr="00C73746">
        <w:t xml:space="preserve">проводят промежуточную аттестацию в письменной и тестовой форме. Между тем, результатами освоения образовательной программы являются не только предметные результаты, но и метапредметные, в том числе и смысловое чтение текста. Как показывает поэлементный анализ ДКР, ЕГЭ обучающиеся затрудняются в заданиях, проверяющих именно метапредметные умения. </w:t>
      </w:r>
    </w:p>
    <w:tbl>
      <w:tblPr>
        <w:tblStyle w:val="a5"/>
        <w:tblW w:w="10235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560"/>
        <w:gridCol w:w="1418"/>
        <w:gridCol w:w="387"/>
        <w:gridCol w:w="387"/>
        <w:gridCol w:w="388"/>
        <w:gridCol w:w="1219"/>
        <w:gridCol w:w="1219"/>
        <w:gridCol w:w="1219"/>
        <w:gridCol w:w="1219"/>
        <w:gridCol w:w="1219"/>
      </w:tblGrid>
      <w:tr w:rsidR="00C83F9B" w:rsidTr="00C83F9B">
        <w:tc>
          <w:tcPr>
            <w:tcW w:w="1560" w:type="dxa"/>
            <w:vMerge w:val="restart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Школа</w:t>
            </w:r>
          </w:p>
        </w:tc>
        <w:tc>
          <w:tcPr>
            <w:tcW w:w="8675" w:type="dxa"/>
            <w:gridSpan w:val="9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Формы промежуточной аттестации</w:t>
            </w:r>
            <w:r>
              <w:rPr>
                <w:rFonts w:eastAsia="Calibri"/>
                <w:b/>
                <w:sz w:val="24"/>
                <w:szCs w:val="24"/>
              </w:rPr>
              <w:t xml:space="preserve"> по классам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2</w:t>
            </w:r>
          </w:p>
        </w:tc>
        <w:tc>
          <w:tcPr>
            <w:tcW w:w="387" w:type="dxa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3</w:t>
            </w:r>
          </w:p>
        </w:tc>
        <w:tc>
          <w:tcPr>
            <w:tcW w:w="388" w:type="dxa"/>
          </w:tcPr>
          <w:p w:rsidR="00C83F9B" w:rsidRPr="00773317" w:rsidRDefault="00C83F9B" w:rsidP="00C83F9B">
            <w:pPr>
              <w:rPr>
                <w:rFonts w:eastAsia="Calibri"/>
                <w:b/>
                <w:sz w:val="24"/>
                <w:szCs w:val="24"/>
              </w:rPr>
            </w:pPr>
            <w:r w:rsidRPr="00773317">
              <w:rPr>
                <w:rFonts w:eastAsia="Calibri"/>
                <w:b/>
                <w:sz w:val="24"/>
                <w:szCs w:val="24"/>
              </w:rPr>
              <w:t>4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5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6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7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b/>
                <w:sz w:val="20"/>
                <w:szCs w:val="20"/>
              </w:rPr>
            </w:pPr>
            <w:r w:rsidRPr="00AA1D6D">
              <w:rPr>
                <w:rFonts w:eastAsia="Calibri"/>
                <w:b/>
                <w:sz w:val="20"/>
                <w:szCs w:val="20"/>
              </w:rPr>
              <w:t>10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№1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№2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ВСОШ №3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Гимназия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Халбакинская СОШ*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Родная литература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Информатика и ИКТ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Кысыл-Сырская СОШ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Хампинская СОШ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Тасагарская СОШ*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УДКР</w:t>
            </w:r>
          </w:p>
        </w:tc>
      </w:tr>
      <w:tr w:rsidR="00C83F9B" w:rsidTr="00C83F9B">
        <w:tc>
          <w:tcPr>
            <w:tcW w:w="1560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Жемконская СОШ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По всем предметам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Чернышевская СОШ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тест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</w:t>
            </w:r>
          </w:p>
        </w:tc>
      </w:tr>
      <w:tr w:rsidR="00C83F9B" w:rsidTr="00C83F9B">
        <w:tc>
          <w:tcPr>
            <w:tcW w:w="1560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Бекчегинская СОШ*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Чочунская СОШ*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биология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физика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Родной язык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Химия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Обществознание</w:t>
            </w:r>
          </w:p>
        </w:tc>
        <w:tc>
          <w:tcPr>
            <w:tcW w:w="387" w:type="dxa"/>
          </w:tcPr>
          <w:p w:rsidR="00C83F9B" w:rsidRDefault="00C83F9B" w:rsidP="00C83F9B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387" w:type="dxa"/>
          </w:tcPr>
          <w:p w:rsidR="00C83F9B" w:rsidRDefault="00C83F9B" w:rsidP="00C83F9B"/>
        </w:tc>
        <w:tc>
          <w:tcPr>
            <w:tcW w:w="388" w:type="dxa"/>
          </w:tcPr>
          <w:p w:rsidR="00C83F9B" w:rsidRDefault="00C83F9B" w:rsidP="00C83F9B"/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412C33">
              <w:rPr>
                <w:rFonts w:eastAsia="Calibri"/>
                <w:sz w:val="20"/>
                <w:szCs w:val="20"/>
              </w:rPr>
              <w:t>1 Кюлетская СОШ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изложение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Югюлятская СОШ*</w:t>
            </w: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Баппагаинская СОШ*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Демоверсия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Задания ВПР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Демоверсия ЕГЭ</w:t>
            </w:r>
          </w:p>
        </w:tc>
      </w:tr>
      <w:tr w:rsidR="00C83F9B" w:rsidTr="00C83F9B">
        <w:tc>
          <w:tcPr>
            <w:tcW w:w="1560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Лекеченская СОШ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Мастахская СОШ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Кыргыдайская СОШ*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Тестирование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Хагынская СОШ*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тест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письменно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jc w:val="left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Тогусская СОШ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диктант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Экзаменационая работа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Экзаменационая работа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ОГЭ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В форме ЕГЭ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Борогонская СОШ*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sz w:val="20"/>
                <w:szCs w:val="20"/>
              </w:rPr>
              <w:t>к/р</w:t>
            </w:r>
          </w:p>
        </w:tc>
      </w:tr>
      <w:tr w:rsidR="00C83F9B" w:rsidTr="00C83F9B">
        <w:tc>
          <w:tcPr>
            <w:tcW w:w="1560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Тылгынинская СОШ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0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lastRenderedPageBreak/>
              <w:t>2 Кюлетская СОШ*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Екюндюнская ООШ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rFonts w:eastAsia="Calibri"/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 w:val="restart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Кедандинская ООШ</w:t>
            </w: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Русский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Математика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  <w:tr w:rsidR="00C83F9B" w:rsidTr="00C83F9B">
        <w:tc>
          <w:tcPr>
            <w:tcW w:w="1560" w:type="dxa"/>
            <w:vMerge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8" w:type="dxa"/>
          </w:tcPr>
          <w:p w:rsidR="00C83F9B" w:rsidRDefault="00C83F9B" w:rsidP="00C83F9B">
            <w:pPr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Английский язык</w:t>
            </w: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7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388" w:type="dxa"/>
          </w:tcPr>
          <w:p w:rsidR="00C83F9B" w:rsidRPr="00412C33" w:rsidRDefault="00C83F9B" w:rsidP="00C83F9B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  <w:tc>
          <w:tcPr>
            <w:tcW w:w="1219" w:type="dxa"/>
          </w:tcPr>
          <w:p w:rsidR="00C83F9B" w:rsidRPr="00AA1D6D" w:rsidRDefault="00C83F9B" w:rsidP="00C83F9B">
            <w:pPr>
              <w:rPr>
                <w:sz w:val="20"/>
                <w:szCs w:val="20"/>
              </w:rPr>
            </w:pPr>
            <w:r w:rsidRPr="00AA1D6D">
              <w:rPr>
                <w:rFonts w:eastAsia="Calibri"/>
                <w:sz w:val="20"/>
                <w:szCs w:val="20"/>
              </w:rPr>
              <w:t>экзамен</w:t>
            </w:r>
          </w:p>
        </w:tc>
      </w:tr>
    </w:tbl>
    <w:p w:rsidR="00C83F9B" w:rsidRDefault="00C83F9B" w:rsidP="00C83F9B">
      <w:pPr>
        <w:ind w:firstLine="426"/>
        <w:jc w:val="both"/>
      </w:pPr>
    </w:p>
    <w:p w:rsidR="00C83F9B" w:rsidRPr="000C394C" w:rsidRDefault="00C83F9B" w:rsidP="00C83F9B">
      <w:pPr>
        <w:ind w:firstLine="426"/>
        <w:jc w:val="both"/>
      </w:pPr>
      <w:r w:rsidRPr="000C394C">
        <w:t>Сравнительн</w:t>
      </w:r>
      <w:r>
        <w:t>ый анализ итогов В</w:t>
      </w:r>
      <w:r w:rsidRPr="000C394C">
        <w:t>ПР за 2020-2021 учебный год</w:t>
      </w:r>
      <w:r>
        <w:t xml:space="preserve"> в общеобразовательных организациях Вилюйского района: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42"/>
        <w:gridCol w:w="1155"/>
        <w:gridCol w:w="1152"/>
        <w:gridCol w:w="1394"/>
        <w:gridCol w:w="1155"/>
        <w:gridCol w:w="1153"/>
        <w:gridCol w:w="1394"/>
      </w:tblGrid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Предметы 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Усп. осень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Усп. весна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Кач.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осень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Кач. весна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65,7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27,3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32,2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4,9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63,2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69,4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6,2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27,9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35,5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7,6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Окружающий мир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80,9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79,2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занижение на 1,7 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46,6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66,2</w:t>
            </w:r>
          </w:p>
        </w:tc>
        <w:tc>
          <w:tcPr>
            <w:tcW w:w="1368" w:type="dxa"/>
          </w:tcPr>
          <w:p w:rsidR="00C83F9B" w:rsidRPr="005051EA" w:rsidRDefault="00C83F9B" w:rsidP="00C83F9B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19,6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Биология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60,9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7,4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16,8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8,2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64,1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71,2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7,1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24,1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29,6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5,5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Обществознание 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56,9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73,9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17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27,6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6,6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География 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76,5</w:t>
            </w:r>
          </w:p>
        </w:tc>
        <w:tc>
          <w:tcPr>
            <w:tcW w:w="1367" w:type="dxa"/>
          </w:tcPr>
          <w:p w:rsidR="00C83F9B" w:rsidRPr="005051EA" w:rsidRDefault="00C83F9B" w:rsidP="00C83F9B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13,2</w:t>
            </w:r>
          </w:p>
        </w:tc>
        <w:tc>
          <w:tcPr>
            <w:tcW w:w="1367" w:type="dxa"/>
          </w:tcPr>
          <w:p w:rsidR="00C83F9B" w:rsidRPr="005051EA" w:rsidRDefault="00C83F9B" w:rsidP="00C83F9B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18,8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24,8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6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Физика 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63,8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5,8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13,7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1368" w:type="dxa"/>
          </w:tcPr>
          <w:p w:rsidR="00C83F9B" w:rsidRPr="005051EA" w:rsidRDefault="00C83F9B" w:rsidP="00C83F9B">
            <w:pPr>
              <w:rPr>
                <w:color w:val="000000" w:themeColor="text1"/>
                <w:sz w:val="24"/>
                <w:szCs w:val="24"/>
              </w:rPr>
            </w:pPr>
            <w:r w:rsidRPr="005051EA">
              <w:rPr>
                <w:color w:val="000000" w:themeColor="text1"/>
                <w:sz w:val="24"/>
                <w:szCs w:val="24"/>
              </w:rPr>
              <w:t>повышение на 13,3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Химия</w:t>
            </w:r>
          </w:p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76,6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2,3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48,3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занижение на 4,3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55,1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54,8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занижение на 0,3</w:t>
            </w: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18,9</w:t>
            </w: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на 8,9</w:t>
            </w:r>
          </w:p>
        </w:tc>
      </w:tr>
      <w:tr w:rsidR="00C83F9B" w:rsidTr="00C83F9B"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1368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</w:p>
        </w:tc>
      </w:tr>
    </w:tbl>
    <w:p w:rsidR="00C83F9B" w:rsidRDefault="00C83F9B" w:rsidP="00C83F9B">
      <w:pPr>
        <w:rPr>
          <w:sz w:val="24"/>
          <w:szCs w:val="24"/>
        </w:rPr>
      </w:pPr>
    </w:p>
    <w:p w:rsidR="00C83F9B" w:rsidRDefault="00C83F9B" w:rsidP="00C83F9B">
      <w:pPr>
        <w:rPr>
          <w:sz w:val="24"/>
          <w:szCs w:val="24"/>
        </w:rPr>
      </w:pPr>
      <w:r>
        <w:rPr>
          <w:sz w:val="24"/>
          <w:szCs w:val="24"/>
        </w:rPr>
        <w:t xml:space="preserve">Успеваемость по итогам ВПР </w:t>
      </w:r>
    </w:p>
    <w:p w:rsidR="00C83F9B" w:rsidRDefault="00C83F9B" w:rsidP="00C83F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lastRenderedPageBreak/>
        <w:drawing>
          <wp:inline distT="0" distB="0" distL="0" distR="0" wp14:anchorId="0F045574" wp14:editId="344EF6D8">
            <wp:extent cx="5486400" cy="3200400"/>
            <wp:effectExtent l="19050" t="0" r="1905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83F9B" w:rsidRDefault="00C83F9B" w:rsidP="00C83F9B">
      <w:pPr>
        <w:rPr>
          <w:sz w:val="24"/>
          <w:szCs w:val="24"/>
        </w:rPr>
      </w:pPr>
    </w:p>
    <w:p w:rsidR="00C83F9B" w:rsidRDefault="00C83F9B" w:rsidP="00C83F9B">
      <w:pPr>
        <w:rPr>
          <w:sz w:val="24"/>
          <w:szCs w:val="24"/>
        </w:rPr>
      </w:pPr>
    </w:p>
    <w:p w:rsidR="00C83F9B" w:rsidRDefault="00C83F9B" w:rsidP="00C83F9B">
      <w:pPr>
        <w:rPr>
          <w:sz w:val="24"/>
          <w:szCs w:val="24"/>
        </w:rPr>
      </w:pPr>
      <w:r>
        <w:rPr>
          <w:sz w:val="24"/>
          <w:szCs w:val="24"/>
        </w:rPr>
        <w:t>Качество по итогам ВПР</w:t>
      </w:r>
    </w:p>
    <w:p w:rsidR="00C83F9B" w:rsidRDefault="00C83F9B" w:rsidP="00C83F9B">
      <w:pPr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w:drawing>
          <wp:inline distT="0" distB="0" distL="0" distR="0" wp14:anchorId="54607CAE" wp14:editId="149C129A">
            <wp:extent cx="5486400" cy="3200400"/>
            <wp:effectExtent l="19050" t="0" r="1905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83F9B" w:rsidRDefault="00C83F9B" w:rsidP="00C83F9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Результат оценочной процедуры </w:t>
      </w:r>
      <w:r>
        <w:rPr>
          <w:b/>
          <w:sz w:val="24"/>
          <w:szCs w:val="24"/>
          <w:lang w:val="en-US"/>
        </w:rPr>
        <w:t>PISA</w:t>
      </w:r>
    </w:p>
    <w:p w:rsidR="00C83F9B" w:rsidRDefault="00C83F9B" w:rsidP="00C83F9B">
      <w:pPr>
        <w:rPr>
          <w:b/>
          <w:sz w:val="24"/>
          <w:szCs w:val="24"/>
        </w:rPr>
      </w:pPr>
    </w:p>
    <w:tbl>
      <w:tblPr>
        <w:tblStyle w:val="a5"/>
        <w:tblW w:w="103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127"/>
        <w:gridCol w:w="1304"/>
        <w:gridCol w:w="1418"/>
        <w:gridCol w:w="1417"/>
        <w:gridCol w:w="1418"/>
        <w:gridCol w:w="1134"/>
        <w:gridCol w:w="1559"/>
      </w:tblGrid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ОО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</w:t>
            </w:r>
            <w:r w:rsidRPr="00BF3B3F">
              <w:rPr>
                <w:b/>
                <w:sz w:val="22"/>
                <w:szCs w:val="22"/>
              </w:rPr>
              <w:t>СОШ №3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Вилюйская Гимназия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Чочунская СОШ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Чернышевская СОШ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Лекеченская СОШ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b/>
                <w:sz w:val="22"/>
                <w:szCs w:val="22"/>
              </w:rPr>
            </w:pPr>
            <w:r w:rsidRPr="00BF3B3F">
              <w:rPr>
                <w:b/>
                <w:sz w:val="22"/>
                <w:szCs w:val="22"/>
              </w:rPr>
              <w:t>Жемконск</w:t>
            </w:r>
            <w:r>
              <w:rPr>
                <w:b/>
                <w:sz w:val="22"/>
                <w:szCs w:val="22"/>
              </w:rPr>
              <w:t>ая</w:t>
            </w:r>
            <w:r w:rsidRPr="00BF3B3F">
              <w:rPr>
                <w:b/>
                <w:sz w:val="22"/>
                <w:szCs w:val="22"/>
              </w:rPr>
              <w:t xml:space="preserve"> СОШ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Кол-во участников исследования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19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Читательская грамотность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394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512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262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321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322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452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по читательской грамотности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lastRenderedPageBreak/>
              <w:t>Математическая грамотность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425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526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359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410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498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460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с математической грамотностью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Выше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Выше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Естественнонаучная грамотность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502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360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357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474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437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Сравнение с РФ с естественнонаучной грамотностью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Ниже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Сопоставим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Резильентные ОО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нерезильентные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Остальные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Нерезильентные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Нерезильентные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Нерезильентные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Нерезильентные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резильентных учащихся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5,3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0,0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учащихся отметивших наличие плохой дисциплины на уроках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15,4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21,1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учащихся с высокой мотивацией с изучением математики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47,4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37,5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50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28,6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Учащиеся, подвергавшиеся социальным формам травли несколько раз в месяц или чаще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30,8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28,6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Учащиеся, подвергавшиеся агрессивным формам травли не6сколько раз в месяц или чаще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7,7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15,8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33,3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12,5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14,3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Отношение численности участников ЕГЭ к ОГЭ в 2019 г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40,5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86,4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72,7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112,5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175,0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75,0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Доля учащихся, выбравших профильную математику  для сдачи ЕГЭ в 2019 г (%)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35,3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60,0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40,0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22,2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42,9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33,3</w:t>
            </w:r>
          </w:p>
        </w:tc>
      </w:tr>
      <w:tr w:rsidR="00C83F9B" w:rsidRPr="00BF3B3F" w:rsidTr="00C83F9B">
        <w:tc>
          <w:tcPr>
            <w:tcW w:w="212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В списке «Школы с низкими образовательными результатами»</w:t>
            </w:r>
          </w:p>
        </w:tc>
        <w:tc>
          <w:tcPr>
            <w:tcW w:w="130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Да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417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418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134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  <w:tc>
          <w:tcPr>
            <w:tcW w:w="1559" w:type="dxa"/>
          </w:tcPr>
          <w:p w:rsidR="00C83F9B" w:rsidRPr="00BF3B3F" w:rsidRDefault="00C83F9B" w:rsidP="00C83F9B">
            <w:pPr>
              <w:rPr>
                <w:sz w:val="22"/>
                <w:szCs w:val="22"/>
              </w:rPr>
            </w:pPr>
            <w:r w:rsidRPr="00BF3B3F">
              <w:rPr>
                <w:sz w:val="22"/>
                <w:szCs w:val="22"/>
              </w:rPr>
              <w:t>нет</w:t>
            </w:r>
          </w:p>
        </w:tc>
      </w:tr>
    </w:tbl>
    <w:p w:rsidR="00C83F9B" w:rsidRPr="0074287B" w:rsidRDefault="00C83F9B" w:rsidP="00C83F9B">
      <w:pPr>
        <w:rPr>
          <w:b/>
          <w:sz w:val="24"/>
          <w:szCs w:val="24"/>
        </w:rPr>
      </w:pPr>
    </w:p>
    <w:p w:rsidR="00C83F9B" w:rsidRPr="00BF3B3F" w:rsidRDefault="00C83F9B" w:rsidP="00C83F9B">
      <w:pPr>
        <w:ind w:firstLine="709"/>
        <w:jc w:val="both"/>
        <w:rPr>
          <w:b/>
        </w:rPr>
      </w:pPr>
      <w:r w:rsidRPr="00BF3B3F">
        <w:rPr>
          <w:b/>
        </w:rPr>
        <w:t>Анализ итогов Государственной итоговой аттестации</w:t>
      </w:r>
    </w:p>
    <w:p w:rsidR="00C83F9B" w:rsidRPr="00BF3B3F" w:rsidRDefault="00C83F9B" w:rsidP="00C83F9B">
      <w:pPr>
        <w:ind w:firstLine="709"/>
        <w:jc w:val="both"/>
      </w:pPr>
      <w:r w:rsidRPr="00BF3B3F">
        <w:t xml:space="preserve">В 2019-2020 учебном году всего выпускников текущего года было 256, из них государственную итоговую аттестацию по образовательным программам среднего общего образования сдали всего 107 выпускников </w:t>
      </w:r>
      <w:r w:rsidRPr="00BF3B3F">
        <w:lastRenderedPageBreak/>
        <w:t xml:space="preserve">текущего года, 1 выпускник прошлых лет и 17 выпускников из других улусов, итого 125 участников. </w:t>
      </w:r>
    </w:p>
    <w:p w:rsidR="00C83F9B" w:rsidRDefault="00C83F9B" w:rsidP="00C83F9B">
      <w:pPr>
        <w:rPr>
          <w:sz w:val="24"/>
          <w:szCs w:val="24"/>
        </w:rPr>
      </w:pPr>
      <w:r w:rsidRPr="006B5141">
        <w:rPr>
          <w:sz w:val="24"/>
          <w:szCs w:val="24"/>
        </w:rPr>
        <w:t>Обязательные предметы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45"/>
        <w:gridCol w:w="1834"/>
        <w:gridCol w:w="1417"/>
        <w:gridCol w:w="1667"/>
        <w:gridCol w:w="1417"/>
        <w:gridCol w:w="1303"/>
        <w:gridCol w:w="1262"/>
      </w:tblGrid>
      <w:tr w:rsidR="00C83F9B" w:rsidTr="00C83F9B">
        <w:tc>
          <w:tcPr>
            <w:tcW w:w="44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38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Предмет</w:t>
            </w:r>
          </w:p>
        </w:tc>
        <w:tc>
          <w:tcPr>
            <w:tcW w:w="96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Успеваемость</w:t>
            </w:r>
          </w:p>
        </w:tc>
        <w:tc>
          <w:tcPr>
            <w:tcW w:w="141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сдавших</w:t>
            </w:r>
          </w:p>
        </w:tc>
        <w:tc>
          <w:tcPr>
            <w:tcW w:w="1560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Качество</w:t>
            </w:r>
          </w:p>
        </w:tc>
        <w:tc>
          <w:tcPr>
            <w:tcW w:w="152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Средний балл</w:t>
            </w:r>
          </w:p>
        </w:tc>
      </w:tr>
      <w:tr w:rsidR="00C83F9B" w:rsidTr="00C83F9B">
        <w:tc>
          <w:tcPr>
            <w:tcW w:w="44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8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Русский язык</w:t>
            </w:r>
          </w:p>
        </w:tc>
        <w:tc>
          <w:tcPr>
            <w:tcW w:w="96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1701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0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74,5</w:t>
            </w:r>
          </w:p>
        </w:tc>
        <w:tc>
          <w:tcPr>
            <w:tcW w:w="152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</w:tr>
      <w:tr w:rsidR="00C83F9B" w:rsidTr="00C83F9B">
        <w:tc>
          <w:tcPr>
            <w:tcW w:w="44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8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 профильный уровень</w:t>
            </w:r>
          </w:p>
        </w:tc>
        <w:tc>
          <w:tcPr>
            <w:tcW w:w="965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701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  <w:tc>
          <w:tcPr>
            <w:tcW w:w="1417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560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35,1</w:t>
            </w:r>
          </w:p>
        </w:tc>
        <w:tc>
          <w:tcPr>
            <w:tcW w:w="1524" w:type="dxa"/>
          </w:tcPr>
          <w:p w:rsidR="00C83F9B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40,2</w:t>
            </w:r>
          </w:p>
        </w:tc>
      </w:tr>
    </w:tbl>
    <w:p w:rsidR="00C83F9B" w:rsidRPr="006B5141" w:rsidRDefault="00C83F9B" w:rsidP="00C83F9B">
      <w:pPr>
        <w:rPr>
          <w:sz w:val="24"/>
          <w:szCs w:val="24"/>
        </w:rPr>
      </w:pPr>
    </w:p>
    <w:p w:rsidR="00C83F9B" w:rsidRPr="006B5141" w:rsidRDefault="00C83F9B" w:rsidP="00C83F9B">
      <w:pPr>
        <w:rPr>
          <w:sz w:val="24"/>
          <w:szCs w:val="24"/>
        </w:rPr>
      </w:pPr>
      <w:r w:rsidRPr="006B5141">
        <w:rPr>
          <w:sz w:val="24"/>
          <w:szCs w:val="24"/>
        </w:rPr>
        <w:t>Выборные предметы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5"/>
        <w:gridCol w:w="2043"/>
        <w:gridCol w:w="1417"/>
        <w:gridCol w:w="1647"/>
        <w:gridCol w:w="1417"/>
        <w:gridCol w:w="1200"/>
        <w:gridCol w:w="1166"/>
      </w:tblGrid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№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6B5141">
              <w:rPr>
                <w:sz w:val="24"/>
                <w:szCs w:val="24"/>
              </w:rPr>
              <w:t>редмет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Успеваемость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 сдавших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6B5141">
              <w:rPr>
                <w:sz w:val="24"/>
                <w:szCs w:val="24"/>
              </w:rPr>
              <w:t>ачество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Средний балл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1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52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2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84,6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30,8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45,3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3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53,7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4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26,7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46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5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 w:rsidRPr="006B5141">
              <w:rPr>
                <w:noProof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88,5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15,4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43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6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46,2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23,1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35,6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7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53,1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41,2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8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58,8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39</w:t>
            </w:r>
          </w:p>
        </w:tc>
      </w:tr>
      <w:tr w:rsidR="00C83F9B" w:rsidRPr="006B5141" w:rsidTr="00C83F9B">
        <w:tc>
          <w:tcPr>
            <w:tcW w:w="488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 w:rsidRPr="006B5141">
              <w:rPr>
                <w:sz w:val="24"/>
                <w:szCs w:val="24"/>
              </w:rPr>
              <w:t>9</w:t>
            </w:r>
          </w:p>
        </w:tc>
        <w:tc>
          <w:tcPr>
            <w:tcW w:w="2389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 w:rsidRPr="006B5141">
              <w:rPr>
                <w:noProof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41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47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22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354" w:type="dxa"/>
          </w:tcPr>
          <w:p w:rsidR="00C83F9B" w:rsidRPr="006B5141" w:rsidRDefault="00C83F9B" w:rsidP="00C83F9B">
            <w:pPr>
              <w:rPr>
                <w:noProof/>
                <w:sz w:val="24"/>
                <w:szCs w:val="24"/>
                <w:lang w:eastAsia="ru-RU"/>
              </w:rPr>
            </w:pPr>
            <w:r>
              <w:rPr>
                <w:noProof/>
                <w:sz w:val="24"/>
                <w:szCs w:val="24"/>
                <w:lang w:eastAsia="ru-RU"/>
              </w:rPr>
              <w:t>53,8</w:t>
            </w:r>
          </w:p>
        </w:tc>
      </w:tr>
    </w:tbl>
    <w:p w:rsidR="00C83F9B" w:rsidRPr="00577C8B" w:rsidRDefault="00C83F9B" w:rsidP="00C83F9B">
      <w:pPr>
        <w:jc w:val="both"/>
        <w:rPr>
          <w:rFonts w:eastAsia="Calibri"/>
          <w:sz w:val="24"/>
          <w:szCs w:val="24"/>
          <w:lang w:eastAsia="ru-RU"/>
        </w:rPr>
      </w:pPr>
    </w:p>
    <w:p w:rsidR="00C83F9B" w:rsidRPr="00421F09" w:rsidRDefault="00C83F9B" w:rsidP="00C83F9B">
      <w:pPr>
        <w:ind w:firstLine="708"/>
        <w:jc w:val="both"/>
        <w:rPr>
          <w:rFonts w:eastAsia="Calibri"/>
          <w:lang w:eastAsia="ru-RU"/>
        </w:rPr>
      </w:pPr>
      <w:r w:rsidRPr="00421F09">
        <w:rPr>
          <w:rFonts w:eastAsia="Calibri"/>
          <w:lang w:eastAsia="ru-RU"/>
        </w:rPr>
        <w:t xml:space="preserve">256 выпускников (100%) получили аттестаты о среднем общем образовании, 4 справочника прошлых лет получили аттестаты (ВСОШ №3 – (2), Хампинская СОШ – (1), Баппагайинская СОШ – (1)) и 2 справочника (ВОСОШ – (1) и Тылгынинская СОШ – (1)) прошлых лет подавшие заявления в других улусах  тоже получили аттестаты о среднем общем образовании. </w:t>
      </w:r>
    </w:p>
    <w:p w:rsidR="00C83F9B" w:rsidRDefault="00C83F9B" w:rsidP="00C83F9B">
      <w:pPr>
        <w:ind w:firstLine="708"/>
        <w:jc w:val="both"/>
        <w:rPr>
          <w:rFonts w:eastAsia="Calibri"/>
          <w:sz w:val="24"/>
          <w:szCs w:val="24"/>
          <w:lang w:eastAsia="ru-RU"/>
        </w:rPr>
      </w:pPr>
    </w:p>
    <w:p w:rsidR="00C83F9B" w:rsidRPr="00421F09" w:rsidRDefault="00C83F9B" w:rsidP="00C83F9B">
      <w:pPr>
        <w:ind w:firstLine="708"/>
        <w:jc w:val="both"/>
        <w:rPr>
          <w:rFonts w:eastAsia="Calibri"/>
          <w:lang w:eastAsia="ru-RU"/>
        </w:rPr>
      </w:pPr>
      <w:r w:rsidRPr="00421F09">
        <w:rPr>
          <w:rFonts w:eastAsia="Calibri"/>
          <w:lang w:eastAsia="ru-RU"/>
        </w:rPr>
        <w:t>Сравни</w:t>
      </w:r>
      <w:r>
        <w:rPr>
          <w:rFonts w:eastAsia="Calibri"/>
          <w:lang w:eastAsia="ru-RU"/>
        </w:rPr>
        <w:t>тельный анализ средних баллов по итогам ГИА 2019 и ГИА 2020:</w:t>
      </w:r>
    </w:p>
    <w:tbl>
      <w:tblPr>
        <w:tblW w:w="94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56"/>
        <w:gridCol w:w="2268"/>
        <w:gridCol w:w="1984"/>
        <w:gridCol w:w="1980"/>
      </w:tblGrid>
      <w:tr w:rsidR="00C83F9B" w:rsidRPr="00421F09" w:rsidTr="00C83F9B">
        <w:trPr>
          <w:trHeight w:val="15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2020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РС (Я)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b/>
                <w:bCs/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2019</w:t>
            </w:r>
          </w:p>
        </w:tc>
      </w:tr>
      <w:tr w:rsidR="00C83F9B" w:rsidRPr="00421F09" w:rsidTr="00C83F9B">
        <w:trPr>
          <w:trHeight w:val="18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66,8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58,2</w:t>
            </w:r>
          </w:p>
        </w:tc>
      </w:tr>
      <w:tr w:rsidR="00C83F9B" w:rsidRPr="00421F09" w:rsidTr="00C83F9B">
        <w:trPr>
          <w:trHeight w:val="584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 xml:space="preserve">Математика </w:t>
            </w:r>
          </w:p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профильный уровень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40,2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46,1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42,1</w:t>
            </w:r>
          </w:p>
        </w:tc>
      </w:tr>
      <w:tr w:rsidR="00C83F9B" w:rsidRPr="00421F09" w:rsidTr="00C83F9B">
        <w:trPr>
          <w:trHeight w:val="26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География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59,7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52,1</w:t>
            </w:r>
          </w:p>
        </w:tc>
      </w:tr>
      <w:tr w:rsidR="00C83F9B" w:rsidRPr="00421F09" w:rsidTr="00C83F9B">
        <w:trPr>
          <w:trHeight w:val="295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45,3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53,9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51,4</w:t>
            </w:r>
          </w:p>
        </w:tc>
      </w:tr>
      <w:tr w:rsidR="00C83F9B" w:rsidRPr="00421F09" w:rsidTr="00C83F9B">
        <w:trPr>
          <w:trHeight w:val="239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Литература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53,7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53,5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46,1</w:t>
            </w:r>
          </w:p>
        </w:tc>
      </w:tr>
      <w:tr w:rsidR="00C83F9B" w:rsidRPr="00421F09" w:rsidTr="00C83F9B">
        <w:trPr>
          <w:trHeight w:val="331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История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46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47,7</w:t>
            </w:r>
          </w:p>
        </w:tc>
      </w:tr>
      <w:tr w:rsidR="00C83F9B" w:rsidRPr="00421F09" w:rsidTr="00C83F9B">
        <w:trPr>
          <w:trHeight w:val="34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Физика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43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48,3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35,2</w:t>
            </w:r>
          </w:p>
        </w:tc>
      </w:tr>
      <w:tr w:rsidR="00C83F9B" w:rsidRPr="00421F09" w:rsidTr="00C83F9B">
        <w:trPr>
          <w:trHeight w:val="417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Химия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35,6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42,3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31,6</w:t>
            </w:r>
          </w:p>
        </w:tc>
      </w:tr>
      <w:tr w:rsidR="00C83F9B" w:rsidRPr="00421F09" w:rsidTr="00C83F9B">
        <w:trPr>
          <w:trHeight w:val="255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41,2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44,4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40,9</w:t>
            </w:r>
          </w:p>
        </w:tc>
      </w:tr>
      <w:tr w:rsidR="00C83F9B" w:rsidRPr="00421F09" w:rsidTr="00C83F9B">
        <w:trPr>
          <w:trHeight w:val="78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Биология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39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44,6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35,5</w:t>
            </w:r>
          </w:p>
        </w:tc>
      </w:tr>
      <w:tr w:rsidR="00C83F9B" w:rsidRPr="00421F09" w:rsidTr="00C83F9B">
        <w:trPr>
          <w:trHeight w:val="343"/>
        </w:trPr>
        <w:tc>
          <w:tcPr>
            <w:tcW w:w="325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lastRenderedPageBreak/>
              <w:t>Английский язык</w:t>
            </w:r>
          </w:p>
        </w:tc>
        <w:tc>
          <w:tcPr>
            <w:tcW w:w="226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53,8</w:t>
            </w:r>
          </w:p>
        </w:tc>
        <w:tc>
          <w:tcPr>
            <w:tcW w:w="1984" w:type="dxa"/>
            <w:shd w:val="clear" w:color="auto" w:fill="E7E6E6" w:themeFill="background2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62,8</w:t>
            </w:r>
          </w:p>
        </w:tc>
        <w:tc>
          <w:tcPr>
            <w:tcW w:w="1980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83F9B" w:rsidRPr="00421F09" w:rsidRDefault="00C83F9B" w:rsidP="00C83F9B">
            <w:pPr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55,4</w:t>
            </w:r>
          </w:p>
        </w:tc>
      </w:tr>
    </w:tbl>
    <w:p w:rsidR="00C83F9B" w:rsidRDefault="00C83F9B" w:rsidP="00C83F9B">
      <w:pPr>
        <w:ind w:firstLine="708"/>
        <w:jc w:val="both"/>
        <w:rPr>
          <w:rFonts w:eastAsia="Calibri"/>
          <w:sz w:val="24"/>
          <w:szCs w:val="24"/>
        </w:rPr>
      </w:pPr>
    </w:p>
    <w:tbl>
      <w:tblPr>
        <w:tblW w:w="94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967"/>
        <w:gridCol w:w="2579"/>
        <w:gridCol w:w="1941"/>
        <w:gridCol w:w="1941"/>
      </w:tblGrid>
      <w:tr w:rsidR="00C83F9B" w:rsidRPr="00421F09" w:rsidTr="00C83F9B">
        <w:trPr>
          <w:trHeight w:val="286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2017/2018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2018/2019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b/>
                <w:bCs/>
                <w:sz w:val="24"/>
                <w:szCs w:val="24"/>
              </w:rPr>
              <w:t>2019/2020</w:t>
            </w:r>
          </w:p>
        </w:tc>
      </w:tr>
      <w:tr w:rsidR="00C83F9B" w:rsidRPr="00421F09" w:rsidTr="00C83F9B">
        <w:trPr>
          <w:trHeight w:val="377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Общее количество выпускников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265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228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256</w:t>
            </w:r>
          </w:p>
        </w:tc>
      </w:tr>
      <w:tr w:rsidR="00C83F9B" w:rsidRPr="00421F09" w:rsidTr="00C83F9B">
        <w:trPr>
          <w:trHeight w:val="148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Окончили с медалью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18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9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24</w:t>
            </w:r>
          </w:p>
        </w:tc>
      </w:tr>
      <w:tr w:rsidR="00C83F9B" w:rsidRPr="00421F09" w:rsidTr="00C83F9B">
        <w:trPr>
          <w:trHeight w:val="584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Поступили в учреждения ВПО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77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55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52</w:t>
            </w:r>
          </w:p>
        </w:tc>
      </w:tr>
      <w:tr w:rsidR="00C83F9B" w:rsidRPr="00421F09" w:rsidTr="00C83F9B">
        <w:trPr>
          <w:trHeight w:val="584"/>
        </w:trPr>
        <w:tc>
          <w:tcPr>
            <w:tcW w:w="296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jc w:val="left"/>
              <w:rPr>
                <w:bCs/>
                <w:sz w:val="24"/>
                <w:szCs w:val="24"/>
              </w:rPr>
            </w:pPr>
            <w:r w:rsidRPr="00421F09">
              <w:rPr>
                <w:bCs/>
                <w:sz w:val="24"/>
                <w:szCs w:val="24"/>
              </w:rPr>
              <w:t>Поступили в учреждения СПО</w:t>
            </w:r>
          </w:p>
        </w:tc>
        <w:tc>
          <w:tcPr>
            <w:tcW w:w="2579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153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151</w:t>
            </w:r>
          </w:p>
        </w:tc>
        <w:tc>
          <w:tcPr>
            <w:tcW w:w="194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83F9B" w:rsidRPr="00421F09" w:rsidRDefault="00C83F9B" w:rsidP="00C83F9B">
            <w:pPr>
              <w:rPr>
                <w:sz w:val="24"/>
                <w:szCs w:val="24"/>
              </w:rPr>
            </w:pPr>
            <w:r w:rsidRPr="00421F09">
              <w:rPr>
                <w:sz w:val="24"/>
                <w:szCs w:val="24"/>
              </w:rPr>
              <w:t>184</w:t>
            </w:r>
          </w:p>
        </w:tc>
      </w:tr>
    </w:tbl>
    <w:p w:rsidR="00C83F9B" w:rsidRDefault="00C83F9B" w:rsidP="00C83F9B"/>
    <w:p w:rsidR="00C83F9B" w:rsidRDefault="00C83F9B" w:rsidP="007E0BC7">
      <w:pPr>
        <w:ind w:firstLine="426"/>
        <w:jc w:val="both"/>
      </w:pPr>
    </w:p>
    <w:p w:rsidR="008120A7" w:rsidRDefault="00A43B98" w:rsidP="007E0BC7">
      <w:pPr>
        <w:ind w:firstLine="426"/>
        <w:jc w:val="both"/>
      </w:pPr>
      <w:r>
        <w:t>По итогам итоговой государственной аттестации н</w:t>
      </w:r>
      <w:r w:rsidR="00BB64EE">
        <w:t xml:space="preserve">аблюдается повышение показателей среднего балла по ЕГЭ по таким предметам, как р/язык, география, литература, физика, химия, обществознание и биология. </w:t>
      </w:r>
    </w:p>
    <w:p w:rsidR="007E0BC7" w:rsidRDefault="00A43B98" w:rsidP="007E0BC7">
      <w:pPr>
        <w:ind w:firstLine="426"/>
        <w:jc w:val="both"/>
      </w:pPr>
      <w:r>
        <w:t>В целях повышения качества образования мы провели и проводим серьезную работу по совершенствованию методической работы. Так, проведен мониторинг методической работы, разработаны меры по ее совершенствованию.</w:t>
      </w:r>
    </w:p>
    <w:p w:rsidR="008120A7" w:rsidRDefault="008120A7" w:rsidP="008120A7">
      <w:pPr>
        <w:ind w:firstLine="426"/>
        <w:jc w:val="both"/>
        <w:rPr>
          <w:bCs/>
        </w:rPr>
      </w:pPr>
      <w:r w:rsidRPr="008120A7">
        <w:rPr>
          <w:bCs/>
        </w:rPr>
        <w:t>Мероприятия, направленные на повышение качества образования в Вилюйском улусе</w:t>
      </w:r>
      <w:r>
        <w:rPr>
          <w:bCs/>
        </w:rPr>
        <w:t>, включают:</w:t>
      </w:r>
    </w:p>
    <w:p w:rsidR="008120A7" w:rsidRPr="008120A7" w:rsidRDefault="008120A7" w:rsidP="008120A7">
      <w:pPr>
        <w:ind w:firstLine="426"/>
        <w:jc w:val="both"/>
        <w:rPr>
          <w:bCs/>
        </w:rPr>
      </w:pPr>
      <w:r>
        <w:rPr>
          <w:bCs/>
        </w:rPr>
        <w:t>1.</w:t>
      </w:r>
      <w:r w:rsidRPr="008120A7">
        <w:rPr>
          <w:bCs/>
        </w:rPr>
        <w:t xml:space="preserve"> </w:t>
      </w:r>
      <w:r>
        <w:rPr>
          <w:bCs/>
        </w:rPr>
        <w:t>О</w:t>
      </w:r>
      <w:r w:rsidRPr="008120A7">
        <w:rPr>
          <w:bCs/>
        </w:rPr>
        <w:t>бучение руководителей образовательных организаций по вопросам развития внутренней системы оценки качества образования;</w:t>
      </w:r>
    </w:p>
    <w:p w:rsidR="008120A7" w:rsidRPr="008120A7" w:rsidRDefault="008120A7" w:rsidP="008120A7">
      <w:pPr>
        <w:ind w:firstLine="426"/>
        <w:jc w:val="both"/>
        <w:rPr>
          <w:bCs/>
        </w:rPr>
      </w:pPr>
      <w:r>
        <w:rPr>
          <w:bCs/>
        </w:rPr>
        <w:t>2.</w:t>
      </w:r>
      <w:r w:rsidRPr="008120A7">
        <w:rPr>
          <w:bCs/>
        </w:rPr>
        <w:t xml:space="preserve"> </w:t>
      </w:r>
      <w:r>
        <w:rPr>
          <w:bCs/>
        </w:rPr>
        <w:t>Р</w:t>
      </w:r>
      <w:r w:rsidRPr="008120A7">
        <w:rPr>
          <w:bCs/>
        </w:rPr>
        <w:t>азработк</w:t>
      </w:r>
      <w:r>
        <w:rPr>
          <w:bCs/>
        </w:rPr>
        <w:t>у</w:t>
      </w:r>
      <w:r w:rsidRPr="008120A7">
        <w:rPr>
          <w:bCs/>
        </w:rPr>
        <w:t xml:space="preserve"> и утверждение Системы объективности процедур оценки качества образования и олимпиады школьников.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 xml:space="preserve">Система объективности процедур оценки качества образования и олимпиад школьников в Вилюйском улусе </w:t>
      </w:r>
      <w:r>
        <w:rPr>
          <w:bCs/>
        </w:rPr>
        <w:t xml:space="preserve">разработана </w:t>
      </w:r>
      <w:r w:rsidRPr="000437CD">
        <w:rPr>
          <w:bCs/>
        </w:rPr>
        <w:t>с учетом следующих показателей: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утвержденного порядка проведения оценочных процедур;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инструктивных материалов для участников проведения оценочных процедур;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>– участи</w:t>
      </w:r>
      <w:r>
        <w:rPr>
          <w:bCs/>
        </w:rPr>
        <w:t>е</w:t>
      </w:r>
      <w:r w:rsidRPr="000437CD">
        <w:rPr>
          <w:bCs/>
        </w:rPr>
        <w:t xml:space="preserve"> общественных/независимых наблюдателей в проведении оценочных процедур;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анализа объективности проведения и оценки результатов оценочных процедур;</w:t>
      </w:r>
    </w:p>
    <w:p w:rsidR="008120A7" w:rsidRPr="000437CD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 xml:space="preserve"> – приняти</w:t>
      </w:r>
      <w:r>
        <w:rPr>
          <w:bCs/>
        </w:rPr>
        <w:t>е</w:t>
      </w:r>
      <w:r w:rsidRPr="000437CD">
        <w:rPr>
          <w:bCs/>
        </w:rPr>
        <w:t xml:space="preserve"> мер и управленческих решений в отношении лиц, допустивших необъективное проведение оценочных процедур и их оценки;</w:t>
      </w:r>
    </w:p>
    <w:p w:rsidR="008120A7" w:rsidRDefault="008120A7" w:rsidP="008120A7">
      <w:pPr>
        <w:ind w:firstLine="426"/>
        <w:jc w:val="both"/>
        <w:rPr>
          <w:bCs/>
        </w:rPr>
      </w:pPr>
      <w:r w:rsidRPr="000437CD">
        <w:rPr>
          <w:bCs/>
        </w:rPr>
        <w:t>– наличи</w:t>
      </w:r>
      <w:r>
        <w:rPr>
          <w:bCs/>
        </w:rPr>
        <w:t>е</w:t>
      </w:r>
      <w:r w:rsidRPr="000437CD">
        <w:rPr>
          <w:bCs/>
        </w:rPr>
        <w:t xml:space="preserve"> плана мероприятий по коррекционной работе с образовательными организациями, вошедшими в «зону риска» по результатам процедур оценки качества образования и госу</w:t>
      </w:r>
      <w:r>
        <w:rPr>
          <w:bCs/>
        </w:rPr>
        <w:t>дарственных итоговых аттестаций;</w:t>
      </w:r>
    </w:p>
    <w:p w:rsidR="008120A7" w:rsidRDefault="008120A7" w:rsidP="008120A7">
      <w:pPr>
        <w:ind w:firstLine="426"/>
        <w:jc w:val="both"/>
        <w:rPr>
          <w:bCs/>
        </w:rPr>
      </w:pPr>
    </w:p>
    <w:p w:rsidR="008120A7" w:rsidRPr="008120A7" w:rsidRDefault="008120A7" w:rsidP="008120A7">
      <w:pPr>
        <w:ind w:firstLine="426"/>
        <w:jc w:val="both"/>
        <w:rPr>
          <w:bCs/>
        </w:rPr>
      </w:pPr>
      <w:r>
        <w:rPr>
          <w:bCs/>
        </w:rPr>
        <w:lastRenderedPageBreak/>
        <w:t>3. Р</w:t>
      </w:r>
      <w:r w:rsidRPr="008120A7">
        <w:rPr>
          <w:bCs/>
        </w:rPr>
        <w:t>азработк</w:t>
      </w:r>
      <w:r>
        <w:rPr>
          <w:bCs/>
        </w:rPr>
        <w:t>у</w:t>
      </w:r>
      <w:r w:rsidRPr="008120A7">
        <w:rPr>
          <w:bCs/>
        </w:rPr>
        <w:t xml:space="preserve"> и утверждение Положения о мониторинге муниципальной системы методической работы в Вилюйском районе, предназначенной для:</w:t>
      </w:r>
    </w:p>
    <w:p w:rsidR="008120A7" w:rsidRPr="000437CD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0437CD">
        <w:rPr>
          <w:bCs/>
        </w:rPr>
        <w:t xml:space="preserve">объективного информационного отражения состояния муниципальной системы методической работы, </w:t>
      </w:r>
    </w:p>
    <w:p w:rsidR="008120A7" w:rsidRPr="000437CD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0437CD">
        <w:rPr>
          <w:bCs/>
        </w:rPr>
        <w:t xml:space="preserve">аналитического обобщения результатов методической работы образовательных организаций, </w:t>
      </w:r>
    </w:p>
    <w:p w:rsidR="008120A7" w:rsidRPr="000437CD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0437CD">
        <w:rPr>
          <w:bCs/>
        </w:rPr>
        <w:t xml:space="preserve">методического сопровождения профессионального развития педагогических и руководящих работников на основе статистических данных, </w:t>
      </w:r>
    </w:p>
    <w:p w:rsidR="008120A7" w:rsidRPr="000437CD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0437CD">
        <w:rPr>
          <w:bCs/>
        </w:rPr>
        <w:t>разработки прогноза обеспечения и развития системы образования</w:t>
      </w:r>
    </w:p>
    <w:p w:rsidR="008120A7" w:rsidRDefault="008120A7" w:rsidP="008120A7">
      <w:pPr>
        <w:ind w:firstLine="426"/>
        <w:jc w:val="both"/>
        <w:rPr>
          <w:bCs/>
        </w:rPr>
      </w:pPr>
    </w:p>
    <w:p w:rsidR="008120A7" w:rsidRPr="008120A7" w:rsidRDefault="008120A7" w:rsidP="008120A7">
      <w:pPr>
        <w:ind w:firstLine="426"/>
        <w:jc w:val="both"/>
        <w:rPr>
          <w:bCs/>
        </w:rPr>
      </w:pPr>
      <w:r>
        <w:rPr>
          <w:bCs/>
        </w:rPr>
        <w:t>4. Р</w:t>
      </w:r>
      <w:r w:rsidRPr="008120A7">
        <w:rPr>
          <w:bCs/>
        </w:rPr>
        <w:t>азработк</w:t>
      </w:r>
      <w:r>
        <w:rPr>
          <w:bCs/>
        </w:rPr>
        <w:t>у</w:t>
      </w:r>
      <w:r w:rsidRPr="008120A7">
        <w:rPr>
          <w:bCs/>
        </w:rPr>
        <w:t xml:space="preserve"> и утверждение Дорожной карты совершенствования методической работы в Вилюйском районе;</w:t>
      </w:r>
    </w:p>
    <w:p w:rsidR="008120A7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5. Р</w:t>
      </w:r>
      <w:r w:rsidRPr="008120A7">
        <w:rPr>
          <w:bCs/>
        </w:rPr>
        <w:t>азработк</w:t>
      </w:r>
      <w:r>
        <w:rPr>
          <w:bCs/>
        </w:rPr>
        <w:t>у</w:t>
      </w:r>
      <w:r w:rsidRPr="008120A7">
        <w:rPr>
          <w:bCs/>
        </w:rPr>
        <w:t xml:space="preserve"> и утверждение локальных актов,</w:t>
      </w:r>
      <w:r>
        <w:rPr>
          <w:bCs/>
        </w:rPr>
        <w:t xml:space="preserve"> направленных на повышение качества методической работы на муниципальном уровне: п</w:t>
      </w:r>
      <w:r w:rsidRPr="00907DD9">
        <w:rPr>
          <w:bCs/>
        </w:rPr>
        <w:t>оложение о наставничестве;</w:t>
      </w:r>
      <w:r>
        <w:rPr>
          <w:bCs/>
        </w:rPr>
        <w:t xml:space="preserve"> п</w:t>
      </w:r>
      <w:r w:rsidRPr="00907DD9">
        <w:rPr>
          <w:bCs/>
        </w:rPr>
        <w:t>оложение об Ассоциации молодых педагогов;</w:t>
      </w:r>
      <w:r>
        <w:rPr>
          <w:bCs/>
        </w:rPr>
        <w:t xml:space="preserve"> п</w:t>
      </w:r>
      <w:r w:rsidRPr="00907DD9">
        <w:rPr>
          <w:bCs/>
        </w:rPr>
        <w:t>оложение о Совете наставников</w:t>
      </w:r>
      <w:r>
        <w:rPr>
          <w:bCs/>
        </w:rPr>
        <w:t>.</w:t>
      </w:r>
    </w:p>
    <w:p w:rsidR="008120A7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6. П</w:t>
      </w:r>
      <w:r w:rsidRPr="008120A7">
        <w:rPr>
          <w:bCs/>
        </w:rPr>
        <w:t>роведение Летней методической школы</w:t>
      </w:r>
      <w:r>
        <w:rPr>
          <w:bCs/>
        </w:rPr>
        <w:t xml:space="preserve"> с участием ведущих республиканских и федеральных экспертов;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7. Р</w:t>
      </w:r>
      <w:r w:rsidRPr="008120A7">
        <w:rPr>
          <w:bCs/>
        </w:rPr>
        <w:t>еализаци</w:t>
      </w:r>
      <w:r>
        <w:rPr>
          <w:bCs/>
        </w:rPr>
        <w:t>ю</w:t>
      </w:r>
      <w:r w:rsidRPr="008120A7">
        <w:rPr>
          <w:bCs/>
        </w:rPr>
        <w:t xml:space="preserve"> принципов проектного управления</w:t>
      </w:r>
      <w:r>
        <w:rPr>
          <w:bCs/>
        </w:rPr>
        <w:t xml:space="preserve">. В Вилюйском улусе реализуются </w:t>
      </w:r>
      <w:r w:rsidRPr="00907DD9">
        <w:rPr>
          <w:bCs/>
        </w:rPr>
        <w:t>сетевые муниципальные проекты: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Cs/>
        </w:rPr>
        <w:t xml:space="preserve">«Ресурсный центр развития естественнонаучного образования» (на базе Вилюйской гимназии»); 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Cs/>
        </w:rPr>
        <w:t>«Надежда Вилюйской школы» (по работе с одаренными детьми, на базе Чочунской СОШ);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Cs/>
        </w:rPr>
        <w:t>«Центр математического единства» (на базе Хампинской СОШ);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 xml:space="preserve">– </w:t>
      </w:r>
      <w:r w:rsidRPr="00907DD9">
        <w:rPr>
          <w:bCs/>
        </w:rPr>
        <w:t>«Повышение качества обучения истории, обществознания»</w:t>
      </w:r>
      <w:r>
        <w:rPr>
          <w:bCs/>
        </w:rPr>
        <w:t>.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</w:p>
    <w:p w:rsidR="008120A7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8.Р</w:t>
      </w:r>
      <w:r w:rsidRPr="008120A7">
        <w:rPr>
          <w:bCs/>
        </w:rPr>
        <w:t>азвитие сетевого взаимодействия с ведущими научно-методическими центрами</w:t>
      </w:r>
      <w:r>
        <w:rPr>
          <w:bCs/>
        </w:rPr>
        <w:t>:</w:t>
      </w:r>
    </w:p>
    <w:p w:rsidR="008120A7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– Институтом развития образования и повышения квалификации им.С.Н.Донского-</w:t>
      </w:r>
      <w:r>
        <w:rPr>
          <w:bCs/>
          <w:lang w:val="en-US"/>
        </w:rPr>
        <w:t>II</w:t>
      </w:r>
      <w:r>
        <w:rPr>
          <w:bCs/>
        </w:rPr>
        <w:t xml:space="preserve"> в рамках реализации федеральной программы по ШНОР «500+»;</w:t>
      </w:r>
    </w:p>
    <w:p w:rsidR="008120A7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– Международной педагогической академией дошкольного образования по проектам «Научный театр», «</w:t>
      </w:r>
      <w:r w:rsidRPr="00907DD9">
        <w:rPr>
          <w:bCs/>
        </w:rPr>
        <w:t>Организация образовательного процесса в условиях малокомплектного ДОУ</w:t>
      </w:r>
      <w:r>
        <w:rPr>
          <w:bCs/>
        </w:rPr>
        <w:t>»;</w:t>
      </w:r>
    </w:p>
    <w:p w:rsidR="008120A7" w:rsidRPr="00907DD9" w:rsidRDefault="008120A7" w:rsidP="008120A7">
      <w:pPr>
        <w:tabs>
          <w:tab w:val="num" w:pos="1440"/>
        </w:tabs>
        <w:ind w:firstLine="426"/>
        <w:jc w:val="both"/>
        <w:rPr>
          <w:bCs/>
        </w:rPr>
      </w:pPr>
      <w:r>
        <w:rPr>
          <w:bCs/>
        </w:rPr>
        <w:t>– Институтом непрерывного образования МГПУ по проекту «</w:t>
      </w:r>
      <w:r w:rsidRPr="00A51C91">
        <w:rPr>
          <w:bCs/>
        </w:rPr>
        <w:t>Внедрение компонента «функциональная грамотность» в образовательные программы школ</w:t>
      </w:r>
      <w:r>
        <w:rPr>
          <w:bCs/>
        </w:rPr>
        <w:t xml:space="preserve">». По данному проекту проведен цикл проблемных семинаров, определены 10 школ-пилотных площадок проекта. Разработано и утверждено Положение о Фестивале функциональной грамотности. В 2021 году Фестиваль будет проводиться для обучающихся 2-6 классов. </w:t>
      </w:r>
    </w:p>
    <w:p w:rsidR="008120A7" w:rsidRDefault="008120A7" w:rsidP="007E0BC7">
      <w:pPr>
        <w:ind w:firstLine="426"/>
        <w:jc w:val="both"/>
      </w:pPr>
    </w:p>
    <w:p w:rsidR="00055770" w:rsidRPr="00BB64EE" w:rsidRDefault="00055770" w:rsidP="00F1777B">
      <w:pPr>
        <w:ind w:firstLine="426"/>
        <w:jc w:val="both"/>
      </w:pPr>
      <w:r>
        <w:t xml:space="preserve">Охват дошкольным образованием детей раннего возраста до 3 лет реализуется за счет организации работы консультационно-методических </w:t>
      </w:r>
      <w:r>
        <w:lastRenderedPageBreak/>
        <w:t>центров</w:t>
      </w:r>
      <w:r w:rsidR="002A77F7">
        <w:t xml:space="preserve">. </w:t>
      </w:r>
      <w:r>
        <w:t xml:space="preserve">В 2020 году такие центры работали практически во всех детских садах на общественных началах. </w:t>
      </w:r>
      <w:r w:rsidR="00FD1DEA">
        <w:t>Центр развития ребенка-детский сад</w:t>
      </w:r>
      <w:r>
        <w:t xml:space="preserve"> </w:t>
      </w:r>
      <w:r w:rsidR="00F1777B">
        <w:t xml:space="preserve">«Аленушка» </w:t>
      </w:r>
      <w:r w:rsidR="00FD1DEA">
        <w:t xml:space="preserve">г.Вилюйска </w:t>
      </w:r>
      <w:r w:rsidR="00F1777B">
        <w:t>вош</w:t>
      </w:r>
      <w:r w:rsidR="00FD1DEA">
        <w:t>ел</w:t>
      </w:r>
      <w:r w:rsidR="00F1777B">
        <w:t xml:space="preserve"> в число сетевых пилотных площадок регионального проекта «Поддержка семей, имеющих детей». Детски</w:t>
      </w:r>
      <w:r w:rsidR="00FD1DEA">
        <w:t>м</w:t>
      </w:r>
      <w:r w:rsidR="00F1777B">
        <w:t xml:space="preserve"> сад</w:t>
      </w:r>
      <w:r w:rsidR="00FD1DEA">
        <w:t>ом</w:t>
      </w:r>
      <w:r w:rsidR="00F1777B">
        <w:t xml:space="preserve"> </w:t>
      </w:r>
      <w:r>
        <w:t xml:space="preserve">«Туллукчаан» </w:t>
      </w:r>
      <w:r w:rsidR="00F1777B">
        <w:t xml:space="preserve">г.Вилюйска реализуется муниципальный проект, а также </w:t>
      </w:r>
      <w:r w:rsidR="00FD1DEA">
        <w:t>детскому саду присвоен</w:t>
      </w:r>
      <w:r w:rsidR="00F1777B">
        <w:t xml:space="preserve"> статус </w:t>
      </w:r>
      <w:r w:rsidR="009C29DF">
        <w:t>кандидата в республиканскую инновационную площадку</w:t>
      </w:r>
      <w:r w:rsidR="00F1777B">
        <w:t xml:space="preserve"> по данному направлению. </w:t>
      </w:r>
    </w:p>
    <w:p w:rsidR="00BB64EE" w:rsidRDefault="00055770" w:rsidP="007E0BC7">
      <w:pPr>
        <w:ind w:firstLine="426"/>
        <w:jc w:val="both"/>
      </w:pPr>
      <w:r>
        <w:t xml:space="preserve">На поддержку семей с детьми с ограниченными возможностями здоровья направлена деятельность службы ранней помощи. </w:t>
      </w:r>
      <w:r w:rsidR="00F1777B">
        <w:t>Планово работала психолого-медико-психологическая комиссия. Несмотря на то, что работа велась в основном дистанционно, мы не допустили резкого снижения оказания диагностических услуг.</w:t>
      </w:r>
    </w:p>
    <w:p w:rsidR="00FD1DEA" w:rsidRDefault="00F1777B" w:rsidP="007E0BC7">
      <w:pPr>
        <w:ind w:firstLine="426"/>
        <w:jc w:val="both"/>
      </w:pPr>
      <w:r>
        <w:t>В целом, следует отметить активную работу дошкольных образовательных учреждений улуса в год 100-летия дошкольного образования. В том числе активно проводились, а также было организовано активное участие воспитанников ДОУ в мероприятиях по проекту «Одаренный ребенок»</w:t>
      </w:r>
      <w:r w:rsidR="00231FD8">
        <w:t xml:space="preserve">. </w:t>
      </w:r>
    </w:p>
    <w:p w:rsidR="007349F5" w:rsidRDefault="00FD1DEA" w:rsidP="007E0BC7">
      <w:pPr>
        <w:ind w:firstLine="426"/>
        <w:jc w:val="both"/>
      </w:pPr>
      <w:r>
        <w:t>В</w:t>
      </w:r>
      <w:r w:rsidR="007349F5">
        <w:t xml:space="preserve"> 2020 году велась активная работа по разработке электронных ресурсов, учебных и иных материалов. </w:t>
      </w:r>
      <w:r w:rsidR="00FE79F0">
        <w:t>На корпоративных страницах управления образования, музея народного образования, образовательных организаций размещались краеведческие материалы, посвященные 75-летию Великой Победы, учебные и методические материалы по организации дистанционного обучения по всем уровням образования.</w:t>
      </w:r>
    </w:p>
    <w:p w:rsidR="007349F5" w:rsidRDefault="00E3710B" w:rsidP="007E0BC7">
      <w:pPr>
        <w:ind w:firstLine="426"/>
        <w:jc w:val="both"/>
      </w:pPr>
      <w:r>
        <w:t>Системно ведется работа по развитию образовательной инфраструктуры, способствующей созданию условий для получения конкурентного образования. Продвигается сотрудничество с корпорацией РОСКОСМОС по созданию аэрокосмических классов. В 2020 году подписано Соглашение о сотрудничестве с ПАО ЯТЭК по созданию инженерного класса в Кысыл-Сырской школе. Развивается сетевое взаимодействие образовательных организаций: ВСОШ №3 с Вилюйским профессионально-педагогическим колледжем, дошкольных образовательных учреждений и ряда школ с ИТЦ «Кэскил» по цифровому образованию.</w:t>
      </w:r>
    </w:p>
    <w:p w:rsidR="00E3710B" w:rsidRDefault="00E3710B" w:rsidP="007E0BC7">
      <w:pPr>
        <w:ind w:firstLine="426"/>
        <w:jc w:val="both"/>
      </w:pPr>
      <w:r>
        <w:t xml:space="preserve">В центре внимания Вилюйского УУО – профессиональная ориентация школьников, развитие навыков финансовой грамотности. В 2020 году продолжена поддержка деятельности школьных бизнес-инкубаторов. Организовано участие старшеклассников в олимпиадах вузов, федеральном проекте «Проектория». </w:t>
      </w:r>
    </w:p>
    <w:p w:rsidR="00040D0C" w:rsidRDefault="00743E48" w:rsidP="0000699A">
      <w:pPr>
        <w:ind w:firstLine="426"/>
        <w:jc w:val="both"/>
      </w:pPr>
      <w:r>
        <w:t>Развитие дополнительного образования осуществляется при взаимодействии воспитательного отдела с центром «Кэскил», который с 2018 года носит</w:t>
      </w:r>
      <w:r w:rsidR="00E3710B" w:rsidRPr="00E3710B">
        <w:t xml:space="preserve"> статус муниципального (опорного) центра дополнительного образования</w:t>
      </w:r>
      <w:r>
        <w:t xml:space="preserve">. В целом, можно сказать, что опыт работы Центра «Кэскил» востребован на уровне республики, что доказывают итоги республиканского конкурса в сфере дополнительного образования 2020 года. </w:t>
      </w:r>
    </w:p>
    <w:p w:rsidR="00040D0C" w:rsidRDefault="00040D0C" w:rsidP="0000699A">
      <w:pPr>
        <w:ind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040D0C" w:rsidTr="00040D0C">
        <w:tc>
          <w:tcPr>
            <w:tcW w:w="2336" w:type="dxa"/>
          </w:tcPr>
          <w:p w:rsidR="00040D0C" w:rsidRPr="00040D0C" w:rsidRDefault="00040D0C" w:rsidP="0000699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336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2336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2337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40D0C" w:rsidTr="00040D0C">
        <w:tc>
          <w:tcPr>
            <w:tcW w:w="2336" w:type="dxa"/>
          </w:tcPr>
          <w:p w:rsidR="00040D0C" w:rsidRPr="00040D0C" w:rsidRDefault="00040D0C" w:rsidP="0000699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Количество обучающихся, охваченных дополнительным образованием</w:t>
            </w:r>
          </w:p>
        </w:tc>
        <w:tc>
          <w:tcPr>
            <w:tcW w:w="2336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4716</w:t>
            </w:r>
          </w:p>
        </w:tc>
        <w:tc>
          <w:tcPr>
            <w:tcW w:w="2336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5527</w:t>
            </w:r>
          </w:p>
        </w:tc>
        <w:tc>
          <w:tcPr>
            <w:tcW w:w="2337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5308</w:t>
            </w:r>
          </w:p>
        </w:tc>
      </w:tr>
    </w:tbl>
    <w:p w:rsidR="00040D0C" w:rsidRDefault="00040D0C" w:rsidP="0000699A">
      <w:pPr>
        <w:ind w:firstLine="426"/>
        <w:jc w:val="both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964"/>
        <w:gridCol w:w="1793"/>
        <w:gridCol w:w="1794"/>
        <w:gridCol w:w="1794"/>
      </w:tblGrid>
      <w:tr w:rsidR="00040D0C" w:rsidTr="00040D0C">
        <w:tc>
          <w:tcPr>
            <w:tcW w:w="3964" w:type="dxa"/>
          </w:tcPr>
          <w:p w:rsidR="00040D0C" w:rsidRPr="00040D0C" w:rsidRDefault="00040D0C" w:rsidP="004D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по направлениям дополнительного образования</w:t>
            </w:r>
          </w:p>
        </w:tc>
        <w:tc>
          <w:tcPr>
            <w:tcW w:w="1793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94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94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40D0C" w:rsidTr="00040D0C">
        <w:trPr>
          <w:trHeight w:val="70"/>
        </w:trPr>
        <w:tc>
          <w:tcPr>
            <w:tcW w:w="3964" w:type="dxa"/>
          </w:tcPr>
          <w:p w:rsidR="00040D0C" w:rsidRP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техническое</w:t>
            </w:r>
          </w:p>
        </w:tc>
        <w:tc>
          <w:tcPr>
            <w:tcW w:w="1793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794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804</w:t>
            </w:r>
          </w:p>
        </w:tc>
        <w:tc>
          <w:tcPr>
            <w:tcW w:w="1794" w:type="dxa"/>
          </w:tcPr>
          <w:p w:rsidR="00040D0C" w:rsidRP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1090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естественнонаучное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туристско-краеведческое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социально-педагогическое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404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828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области искусств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1539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1719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1644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предпрофессиональным программам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383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</w:t>
            </w:r>
          </w:p>
        </w:tc>
      </w:tr>
      <w:tr w:rsidR="00040D0C" w:rsidTr="00040D0C">
        <w:tc>
          <w:tcPr>
            <w:tcW w:w="3964" w:type="dxa"/>
          </w:tcPr>
          <w:p w:rsidR="00040D0C" w:rsidRDefault="00040D0C" w:rsidP="00040D0C">
            <w:pPr>
              <w:pStyle w:val="a8"/>
              <w:numPr>
                <w:ilvl w:val="0"/>
                <w:numId w:val="17"/>
              </w:num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спортивное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2130</w:t>
            </w:r>
          </w:p>
        </w:tc>
        <w:tc>
          <w:tcPr>
            <w:tcW w:w="1794" w:type="dxa"/>
          </w:tcPr>
          <w:p w:rsidR="00040D0C" w:rsidRDefault="00040D0C" w:rsidP="00040D0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2125</w:t>
            </w:r>
          </w:p>
        </w:tc>
      </w:tr>
      <w:tr w:rsidR="00040D0C" w:rsidRPr="00040D0C" w:rsidTr="00040D0C">
        <w:tc>
          <w:tcPr>
            <w:tcW w:w="3964" w:type="dxa"/>
          </w:tcPr>
          <w:p w:rsidR="00040D0C" w:rsidRPr="00040D0C" w:rsidRDefault="00040D0C" w:rsidP="004D134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93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</w:t>
            </w:r>
          </w:p>
        </w:tc>
        <w:tc>
          <w:tcPr>
            <w:tcW w:w="1794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1794" w:type="dxa"/>
          </w:tcPr>
          <w:p w:rsidR="00040D0C" w:rsidRP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040D0C" w:rsidRPr="00040D0C" w:rsidTr="00040D0C">
        <w:tc>
          <w:tcPr>
            <w:tcW w:w="3964" w:type="dxa"/>
          </w:tcPr>
          <w:p w:rsidR="00040D0C" w:rsidRPr="00040D0C" w:rsidRDefault="00040D0C" w:rsidP="004D134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количество детей с ОВЗ в образовательных организациях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</w:t>
            </w:r>
          </w:p>
        </w:tc>
      </w:tr>
      <w:tr w:rsidR="00040D0C" w:rsidRPr="00040D0C" w:rsidTr="00040D0C">
        <w:tc>
          <w:tcPr>
            <w:tcW w:w="3964" w:type="dxa"/>
          </w:tcPr>
          <w:p w:rsidR="00040D0C" w:rsidRDefault="00040D0C" w:rsidP="00040D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с ОВЗ дополнительным дистанционным образованием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</w:tr>
      <w:tr w:rsidR="00040D0C" w:rsidRPr="00040D0C" w:rsidTr="00040D0C">
        <w:tc>
          <w:tcPr>
            <w:tcW w:w="3964" w:type="dxa"/>
          </w:tcPr>
          <w:p w:rsidR="00040D0C" w:rsidRDefault="00040D0C" w:rsidP="00040D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с ОВЗ обучением в учреждениях дополнительного образования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</w:tr>
      <w:tr w:rsidR="00040D0C" w:rsidRPr="00040D0C" w:rsidTr="00040D0C">
        <w:tc>
          <w:tcPr>
            <w:tcW w:w="3964" w:type="dxa"/>
          </w:tcPr>
          <w:p w:rsidR="00040D0C" w:rsidRDefault="00040D0C" w:rsidP="00040D0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Охват детей с ОВЗ дополнительным образованием в общеобразовательных учреждениях</w:t>
            </w:r>
          </w:p>
        </w:tc>
        <w:tc>
          <w:tcPr>
            <w:tcW w:w="1793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</w:t>
            </w:r>
          </w:p>
        </w:tc>
        <w:tc>
          <w:tcPr>
            <w:tcW w:w="1794" w:type="dxa"/>
          </w:tcPr>
          <w:p w:rsidR="00040D0C" w:rsidRDefault="00040D0C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</w:tr>
    </w:tbl>
    <w:p w:rsidR="00040D0C" w:rsidRDefault="00040D0C" w:rsidP="0000699A">
      <w:pPr>
        <w:ind w:firstLine="426"/>
        <w:jc w:val="both"/>
      </w:pPr>
    </w:p>
    <w:p w:rsidR="0000699A" w:rsidRDefault="00743E48" w:rsidP="0000699A">
      <w:pPr>
        <w:ind w:firstLine="426"/>
        <w:jc w:val="both"/>
      </w:pPr>
      <w:r>
        <w:t>Большая работа проведена по организации летнег</w:t>
      </w:r>
      <w:r w:rsidR="0000699A">
        <w:t>о отдыха в сложных эпидемиологических условиях. Были определены муниципальные операторы организации дистанционной летней занятости – это учреждения дополнительного образован</w:t>
      </w:r>
      <w:r w:rsidR="00B20B16">
        <w:t>и</w:t>
      </w:r>
      <w:r w:rsidR="0000699A">
        <w:t xml:space="preserve">я в первую смену, общеобразовательные школы – во второй. </w:t>
      </w:r>
      <w:r w:rsidR="0000699A" w:rsidRPr="0000699A">
        <w:t xml:space="preserve">Всего летней занятостью охвачены 2272 детей (АППГ-2066), что составляет 54,5% от общего охвата детей по Вилюйскому улусу. </w:t>
      </w:r>
      <w:r w:rsidR="0000699A">
        <w:t xml:space="preserve">Из </w:t>
      </w:r>
      <w:r w:rsidR="0000699A" w:rsidRPr="0000699A">
        <w:t>2169 детей, находящихся в трудной жизненной ситуации, охвачены летней занятостью 1192 детей, что составляет 54,9 % от общего охвата.</w:t>
      </w:r>
    </w:p>
    <w:p w:rsidR="00DA4FCD" w:rsidRDefault="00DA4FCD" w:rsidP="0000699A">
      <w:pPr>
        <w:ind w:firstLine="426"/>
        <w:jc w:val="both"/>
      </w:pPr>
      <w:r>
        <w:t xml:space="preserve">Отдельным приоритетным направлением является создание условий для организации дополнительного образования детей с ограниченными возможностями здоровья. Все это направляется на обеспечение социализации, привитие необходимых в жизни навыков у детей такой категории. </w:t>
      </w:r>
    </w:p>
    <w:p w:rsidR="00C939AD" w:rsidRDefault="00C939AD" w:rsidP="0000699A">
      <w:pPr>
        <w:ind w:firstLine="426"/>
        <w:jc w:val="both"/>
      </w:pPr>
      <w:r>
        <w:t xml:space="preserve">Участие в реализации федеральных проектов способствует созданию высокотехнологических ученических мест в школах улуса. В 2020 году </w:t>
      </w:r>
      <w:r>
        <w:lastRenderedPageBreak/>
        <w:t xml:space="preserve">центры «Точки роста» открыты в 2 школах: ВСОШ </w:t>
      </w:r>
      <w:r w:rsidR="00FE79F0">
        <w:t>№</w:t>
      </w:r>
      <w:r>
        <w:t>3 и Лекеченской СОШ. В 2021 году будут открыты еще 4 центра.</w:t>
      </w:r>
    </w:p>
    <w:p w:rsidR="00C939AD" w:rsidRDefault="00C939AD" w:rsidP="0000699A">
      <w:pPr>
        <w:ind w:firstLine="426"/>
        <w:jc w:val="both"/>
      </w:pPr>
      <w:r>
        <w:t xml:space="preserve">Прошедший год стал началом реализации в Вилюйском улусе еще одного федерального проекта «Цифровая образовательная среда». </w:t>
      </w:r>
      <w:r w:rsidR="00982123">
        <w:t>3 ш</w:t>
      </w:r>
      <w:r>
        <w:t xml:space="preserve">колы </w:t>
      </w:r>
      <w:r w:rsidR="00982123">
        <w:t xml:space="preserve">(Вилюйская гимназия, ВСОШ №1 им.Г.И.Чиряева, кысыл-Сырская СОШ) </w:t>
      </w:r>
      <w:r>
        <w:t>получили компьютерное оборудование.</w:t>
      </w:r>
    </w:p>
    <w:p w:rsidR="00C939AD" w:rsidRDefault="00C939AD" w:rsidP="0000699A">
      <w:pPr>
        <w:ind w:firstLine="426"/>
        <w:jc w:val="both"/>
      </w:pPr>
      <w:r>
        <w:t>Развивается практика сетевого взаимодействия школ в рамках реализации муниципальных приоритетных проектов.</w:t>
      </w:r>
    </w:p>
    <w:p w:rsidR="00DA4FCD" w:rsidRDefault="00DA4FCD" w:rsidP="0000699A">
      <w:pPr>
        <w:ind w:firstLine="426"/>
        <w:jc w:val="both"/>
      </w:pPr>
      <w:r>
        <w:t>Также управлением образования проводится работа по привлечению федеральных экспертов к научно-методическому сопровождению методических проектов. Международная педагогическая академия дошкольного образования – малокомплектный детский сад – предложения по нормативно-правовому регулированию представлены на международной научно-практической конференции. В рамках этого февральского совещания мы запустили новый муниципальный проект, направленный на формирование функциональной грамотности. И итоги инновационной деятельности образовательных организаций представлены на слайде. Надо отметить, что адресное выделение средств из муниципального бюджета на инновационную деятельность позволяет активно внедрять принципы проектного управления в сфере образования.</w:t>
      </w:r>
    </w:p>
    <w:p w:rsidR="00B20B16" w:rsidRDefault="00B20B16" w:rsidP="0000699A">
      <w:pPr>
        <w:ind w:firstLine="426"/>
        <w:jc w:val="both"/>
      </w:pPr>
      <w:r>
        <w:t xml:space="preserve">Мы отмечаем рост детей, занимающихся научно-исследовательской деятельностью. Этому способствовала и организация семинаров для педагогов-научных руководителей, организация выездов детей на всероссийские научно-практические конференции. Сейчас мы должны выстроить стройную и эффективную систему развития и поддержки олимпиадного движения. Поскольку несмотря на рост участников предметных олимпиад, показатели качества участия в республиканских этапах пока </w:t>
      </w:r>
      <w:r w:rsidR="006B2902">
        <w:t>остаются недостаточно высокими</w:t>
      </w:r>
      <w:r>
        <w:t>.</w:t>
      </w:r>
    </w:p>
    <w:p w:rsidR="00F1777B" w:rsidRDefault="006B2902" w:rsidP="006B2902">
      <w:pPr>
        <w:rPr>
          <w:sz w:val="24"/>
          <w:szCs w:val="24"/>
        </w:rPr>
      </w:pPr>
      <w:r w:rsidRPr="006B2902">
        <w:rPr>
          <w:sz w:val="24"/>
          <w:szCs w:val="24"/>
        </w:rPr>
        <w:t>Динамика показателей научно-исследовательской работы обучающихся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38"/>
        <w:gridCol w:w="1926"/>
        <w:gridCol w:w="1927"/>
        <w:gridCol w:w="1927"/>
        <w:gridCol w:w="1927"/>
      </w:tblGrid>
      <w:tr w:rsidR="006B2902" w:rsidTr="006B2902">
        <w:tc>
          <w:tcPr>
            <w:tcW w:w="1638" w:type="dxa"/>
            <w:vMerge w:val="restart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годы</w:t>
            </w:r>
          </w:p>
        </w:tc>
        <w:tc>
          <w:tcPr>
            <w:tcW w:w="3853" w:type="dxa"/>
            <w:gridSpan w:val="2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 НПК</w:t>
            </w:r>
          </w:p>
        </w:tc>
        <w:tc>
          <w:tcPr>
            <w:tcW w:w="3854" w:type="dxa"/>
            <w:gridSpan w:val="2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призеров и лауреатов НПК</w:t>
            </w:r>
          </w:p>
        </w:tc>
      </w:tr>
      <w:tr w:rsidR="006B2902" w:rsidTr="006B2902">
        <w:tc>
          <w:tcPr>
            <w:tcW w:w="1638" w:type="dxa"/>
            <w:vMerge/>
          </w:tcPr>
          <w:p w:rsidR="006B2902" w:rsidRDefault="006B2902" w:rsidP="006B2902">
            <w:pPr>
              <w:rPr>
                <w:sz w:val="24"/>
                <w:szCs w:val="24"/>
              </w:rPr>
            </w:pPr>
          </w:p>
        </w:tc>
        <w:tc>
          <w:tcPr>
            <w:tcW w:w="1926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уровня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уровня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Всероссийского уровня</w:t>
            </w:r>
          </w:p>
        </w:tc>
      </w:tr>
      <w:tr w:rsidR="006B2902" w:rsidTr="006B2902">
        <w:tc>
          <w:tcPr>
            <w:tcW w:w="1638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1926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6B2902" w:rsidTr="006B2902">
        <w:tc>
          <w:tcPr>
            <w:tcW w:w="1638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926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B2902" w:rsidTr="006B2902">
        <w:tc>
          <w:tcPr>
            <w:tcW w:w="1638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26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927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6B2902" w:rsidRDefault="006B2902" w:rsidP="006B2902">
      <w:pPr>
        <w:rPr>
          <w:sz w:val="24"/>
          <w:szCs w:val="24"/>
        </w:rPr>
      </w:pPr>
    </w:p>
    <w:p w:rsidR="006B2902" w:rsidRDefault="006B2902" w:rsidP="006B2902">
      <w:pPr>
        <w:rPr>
          <w:sz w:val="24"/>
          <w:szCs w:val="24"/>
        </w:rPr>
      </w:pPr>
      <w:r w:rsidRPr="006B2902">
        <w:rPr>
          <w:sz w:val="24"/>
          <w:szCs w:val="24"/>
        </w:rPr>
        <w:t xml:space="preserve">Динамика показателей </w:t>
      </w:r>
      <w:r>
        <w:rPr>
          <w:sz w:val="24"/>
          <w:szCs w:val="24"/>
        </w:rPr>
        <w:t>участия обучающихся в этапах ВОШ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64"/>
        <w:gridCol w:w="1995"/>
        <w:gridCol w:w="1891"/>
        <w:gridCol w:w="1995"/>
        <w:gridCol w:w="1900"/>
      </w:tblGrid>
      <w:tr w:rsidR="006B2902" w:rsidTr="006B2902">
        <w:tc>
          <w:tcPr>
            <w:tcW w:w="1606" w:type="dxa"/>
            <w:vMerge w:val="restart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Учебные годы</w:t>
            </w:r>
          </w:p>
        </w:tc>
        <w:tc>
          <w:tcPr>
            <w:tcW w:w="3906" w:type="dxa"/>
            <w:gridSpan w:val="2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участников</w:t>
            </w:r>
          </w:p>
        </w:tc>
        <w:tc>
          <w:tcPr>
            <w:tcW w:w="3833" w:type="dxa"/>
            <w:gridSpan w:val="2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призеров и лауреатов НПК</w:t>
            </w:r>
          </w:p>
        </w:tc>
      </w:tr>
      <w:tr w:rsidR="006B2902" w:rsidTr="006B2902">
        <w:tc>
          <w:tcPr>
            <w:tcW w:w="1606" w:type="dxa"/>
            <w:vMerge/>
          </w:tcPr>
          <w:p w:rsidR="006B2902" w:rsidRDefault="006B2902" w:rsidP="006B2902">
            <w:pPr>
              <w:rPr>
                <w:sz w:val="24"/>
                <w:szCs w:val="24"/>
              </w:rPr>
            </w:pPr>
          </w:p>
        </w:tc>
        <w:tc>
          <w:tcPr>
            <w:tcW w:w="1995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</w:t>
            </w:r>
          </w:p>
        </w:tc>
        <w:tc>
          <w:tcPr>
            <w:tcW w:w="1911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этапа</w:t>
            </w:r>
          </w:p>
        </w:tc>
        <w:tc>
          <w:tcPr>
            <w:tcW w:w="1911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этапа</w:t>
            </w:r>
          </w:p>
        </w:tc>
        <w:tc>
          <w:tcPr>
            <w:tcW w:w="1922" w:type="dxa"/>
          </w:tcPr>
          <w:p w:rsidR="006B2902" w:rsidRDefault="006B2902" w:rsidP="006B29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Регионального этапа</w:t>
            </w:r>
          </w:p>
        </w:tc>
      </w:tr>
      <w:tr w:rsidR="006B2902" w:rsidTr="006B2902">
        <w:tc>
          <w:tcPr>
            <w:tcW w:w="1606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2017/2018</w:t>
            </w:r>
          </w:p>
        </w:tc>
        <w:tc>
          <w:tcPr>
            <w:tcW w:w="1995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2271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574</w:t>
            </w:r>
          </w:p>
        </w:tc>
        <w:tc>
          <w:tcPr>
            <w:tcW w:w="1922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6B2902" w:rsidTr="006B2902">
        <w:tc>
          <w:tcPr>
            <w:tcW w:w="1606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2018/2019</w:t>
            </w:r>
          </w:p>
        </w:tc>
        <w:tc>
          <w:tcPr>
            <w:tcW w:w="1995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2496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922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6B2902" w:rsidTr="006B2902">
        <w:tc>
          <w:tcPr>
            <w:tcW w:w="1606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2019/2020</w:t>
            </w:r>
          </w:p>
        </w:tc>
        <w:tc>
          <w:tcPr>
            <w:tcW w:w="1995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2483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911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922" w:type="dxa"/>
          </w:tcPr>
          <w:p w:rsidR="006B2902" w:rsidRDefault="006B2902" w:rsidP="004D13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6B2902" w:rsidRDefault="006B2902" w:rsidP="006B2902">
      <w:pPr>
        <w:rPr>
          <w:sz w:val="24"/>
          <w:szCs w:val="24"/>
        </w:rPr>
      </w:pPr>
    </w:p>
    <w:p w:rsidR="006B2902" w:rsidRDefault="006B2902" w:rsidP="006B2902">
      <w:pPr>
        <w:ind w:firstLine="709"/>
        <w:jc w:val="both"/>
      </w:pPr>
      <w:r>
        <w:lastRenderedPageBreak/>
        <w:t>Проведенный анализ позволяет выделить следующее актуальное проблемное поле деятельности Вилюйского УУО:</w:t>
      </w:r>
    </w:p>
    <w:p w:rsidR="006B2902" w:rsidRDefault="006B2902" w:rsidP="006B2902">
      <w:pPr>
        <w:ind w:firstLine="709"/>
        <w:jc w:val="both"/>
      </w:pPr>
      <w:r>
        <w:t xml:space="preserve">– недостаточный уровень </w:t>
      </w:r>
      <w:r w:rsidR="00FE0DCC">
        <w:t>организационно-методического сопровождения профильного обучения;</w:t>
      </w:r>
    </w:p>
    <w:p w:rsidR="00FE0DCC" w:rsidRDefault="00FE0DCC" w:rsidP="006B2902">
      <w:pPr>
        <w:ind w:firstLine="709"/>
        <w:jc w:val="both"/>
      </w:pPr>
      <w:r>
        <w:t xml:space="preserve">– недостаточный уровень разработанности механизмов для разработки и реализации индивидуальных учебных планов для обучающихся в </w:t>
      </w:r>
      <w:r w:rsidRPr="00FE0DCC">
        <w:t>соответствии с выбранными профессиональными компетенциями (профессиональными областями деятельности)</w:t>
      </w:r>
      <w:r>
        <w:t>;</w:t>
      </w:r>
    </w:p>
    <w:p w:rsidR="00FE0DCC" w:rsidRDefault="00FE0DCC" w:rsidP="006B2902">
      <w:pPr>
        <w:ind w:firstLine="709"/>
        <w:jc w:val="both"/>
      </w:pPr>
      <w:r>
        <w:t>– недостаточный уровень обеспечения образовательными организациями объективного оценивания учебных результатов обучающихся, и как следствие, несвоевременное выявление их учебных дефицитов.</w:t>
      </w:r>
    </w:p>
    <w:p w:rsidR="00FE0DCC" w:rsidRDefault="00FE0DCC" w:rsidP="006B2902">
      <w:pPr>
        <w:ind w:firstLine="709"/>
        <w:jc w:val="both"/>
      </w:pPr>
    </w:p>
    <w:p w:rsidR="00FE0DCC" w:rsidRDefault="00FE0DCC" w:rsidP="006B2902">
      <w:pPr>
        <w:ind w:firstLine="709"/>
        <w:jc w:val="both"/>
      </w:pPr>
      <w:r>
        <w:t>Исходя из вышеизложенного, считаем необходимым решить следующие задачи:</w:t>
      </w:r>
    </w:p>
    <w:p w:rsidR="00FE0DCC" w:rsidRDefault="00FE0DCC" w:rsidP="006B2902">
      <w:pPr>
        <w:ind w:firstLine="709"/>
        <w:jc w:val="both"/>
      </w:pPr>
      <w:r>
        <w:t>– обеспечение комплексного организационно-методического сопровождения профильного обучения;</w:t>
      </w:r>
    </w:p>
    <w:p w:rsidR="00FE0DCC" w:rsidRDefault="00FE0DCC" w:rsidP="006B2902">
      <w:pPr>
        <w:ind w:firstLine="709"/>
        <w:jc w:val="both"/>
      </w:pPr>
      <w:r>
        <w:t xml:space="preserve">– разработки системы мер, направленных на разработку и реализацию индивидуальных учебных планов для обучающихся в </w:t>
      </w:r>
      <w:r w:rsidRPr="00FE0DCC">
        <w:t>соответствии с выбранными профессиональными компетенциями (профессиональными областями деятельности)</w:t>
      </w:r>
      <w:r>
        <w:t>;</w:t>
      </w:r>
    </w:p>
    <w:p w:rsidR="00FE0DCC" w:rsidRDefault="00FE0DCC" w:rsidP="006B2902">
      <w:pPr>
        <w:ind w:firstLine="709"/>
        <w:jc w:val="both"/>
      </w:pPr>
      <w:r>
        <w:t>– проведение обучающих семинаров для руководителей образовательных организаций по вопросам обеспечения объективности оценивания учебных результатов;</w:t>
      </w:r>
    </w:p>
    <w:p w:rsidR="00A46CA0" w:rsidRDefault="00FE0DCC" w:rsidP="006B2902">
      <w:pPr>
        <w:ind w:firstLine="709"/>
        <w:jc w:val="both"/>
      </w:pPr>
      <w:r>
        <w:t xml:space="preserve">– проведение анализа эффективности </w:t>
      </w:r>
      <w:r w:rsidR="00A46CA0">
        <w:t>процедур оценивания учебных результатов на муниципальном уровне и уровне образовательных организаций;</w:t>
      </w:r>
    </w:p>
    <w:p w:rsidR="00FE0DCC" w:rsidRPr="006B2902" w:rsidRDefault="00A46CA0" w:rsidP="006B2902">
      <w:pPr>
        <w:ind w:firstLine="709"/>
        <w:jc w:val="both"/>
      </w:pPr>
      <w:r>
        <w:t>– проведение анализа эффективности курсовой подготовки и повышения квалификации педагогов по предметным областям.</w:t>
      </w:r>
    </w:p>
    <w:sectPr w:rsidR="00FE0DCC" w:rsidRPr="006B2902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0E9C" w:rsidRDefault="00A80E9C" w:rsidP="00F11524">
      <w:r>
        <w:separator/>
      </w:r>
    </w:p>
  </w:endnote>
  <w:endnote w:type="continuationSeparator" w:id="0">
    <w:p w:rsidR="00A80E9C" w:rsidRDefault="00A80E9C" w:rsidP="00F115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ource Sans Pro">
    <w:altName w:val="MS Mincho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72046021"/>
      <w:docPartObj>
        <w:docPartGallery w:val="Page Numbers (Bottom of Page)"/>
        <w:docPartUnique/>
      </w:docPartObj>
    </w:sdtPr>
    <w:sdtContent>
      <w:p w:rsidR="00F11524" w:rsidRDefault="00F11524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:rsidR="00F11524" w:rsidRDefault="00F1152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0E9C" w:rsidRDefault="00A80E9C" w:rsidP="00F11524">
      <w:r>
        <w:separator/>
      </w:r>
    </w:p>
  </w:footnote>
  <w:footnote w:type="continuationSeparator" w:id="0">
    <w:p w:rsidR="00A80E9C" w:rsidRDefault="00A80E9C" w:rsidP="00F115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17770"/>
    <w:multiLevelType w:val="hybridMultilevel"/>
    <w:tmpl w:val="AFAA8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F75EE"/>
    <w:multiLevelType w:val="hybridMultilevel"/>
    <w:tmpl w:val="1E643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6467EC"/>
    <w:multiLevelType w:val="hybridMultilevel"/>
    <w:tmpl w:val="48F433B0"/>
    <w:lvl w:ilvl="0" w:tplc="4B545B3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3CECA4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F8CC8F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BE86C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2C85D1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734FDB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84EA0A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F0EB37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3E61B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9480E"/>
    <w:multiLevelType w:val="hybridMultilevel"/>
    <w:tmpl w:val="82F20F00"/>
    <w:lvl w:ilvl="0" w:tplc="1EE6D1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5AC223F"/>
    <w:multiLevelType w:val="hybridMultilevel"/>
    <w:tmpl w:val="F8DE09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BD0C7F"/>
    <w:multiLevelType w:val="hybridMultilevel"/>
    <w:tmpl w:val="4D7A968A"/>
    <w:lvl w:ilvl="0" w:tplc="AD1EF5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B241F9"/>
    <w:multiLevelType w:val="multilevel"/>
    <w:tmpl w:val="5B6EE2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50C13409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8" w15:restartNumberingAfterBreak="0">
    <w:nsid w:val="54087BFB"/>
    <w:multiLevelType w:val="hybridMultilevel"/>
    <w:tmpl w:val="31529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93DF4"/>
    <w:multiLevelType w:val="hybridMultilevel"/>
    <w:tmpl w:val="F52088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BC6D8B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5514C"/>
    <w:multiLevelType w:val="hybridMultilevel"/>
    <w:tmpl w:val="3DD2199E"/>
    <w:lvl w:ilvl="0" w:tplc="070A55B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A0D88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9D43408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078F50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7CB22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052A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44AEE0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5E69C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4ADCD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363CC9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74C576EB"/>
    <w:multiLevelType w:val="hybridMultilevel"/>
    <w:tmpl w:val="CA8AA3C0"/>
    <w:lvl w:ilvl="0" w:tplc="81029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0DCDC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4AF9E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37E187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EA343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6C48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126E96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3747E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A827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C0B7EF7"/>
    <w:multiLevelType w:val="multilevel"/>
    <w:tmpl w:val="A280825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7E4F6B58"/>
    <w:multiLevelType w:val="hybridMultilevel"/>
    <w:tmpl w:val="94947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2"/>
  </w:num>
  <w:num w:numId="4">
    <w:abstractNumId w:val="14"/>
  </w:num>
  <w:num w:numId="5">
    <w:abstractNumId w:val="6"/>
  </w:num>
  <w:num w:numId="6">
    <w:abstractNumId w:val="1"/>
  </w:num>
  <w:num w:numId="7">
    <w:abstractNumId w:val="4"/>
  </w:num>
  <w:num w:numId="8">
    <w:abstractNumId w:val="15"/>
  </w:num>
  <w:num w:numId="9">
    <w:abstractNumId w:val="0"/>
  </w:num>
  <w:num w:numId="10">
    <w:abstractNumId w:val="8"/>
  </w:num>
  <w:num w:numId="11">
    <w:abstractNumId w:val="9"/>
  </w:num>
  <w:num w:numId="12">
    <w:abstractNumId w:val="10"/>
  </w:num>
  <w:num w:numId="13">
    <w:abstractNumId w:val="11"/>
  </w:num>
  <w:num w:numId="14">
    <w:abstractNumId w:val="2"/>
  </w:num>
  <w:num w:numId="15">
    <w:abstractNumId w:val="13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BC7"/>
    <w:rsid w:val="0000699A"/>
    <w:rsid w:val="00040D0C"/>
    <w:rsid w:val="00055770"/>
    <w:rsid w:val="001672D3"/>
    <w:rsid w:val="00231FD8"/>
    <w:rsid w:val="002A4E6C"/>
    <w:rsid w:val="002A77F7"/>
    <w:rsid w:val="003F4FED"/>
    <w:rsid w:val="006B2902"/>
    <w:rsid w:val="007349F5"/>
    <w:rsid w:val="00743E48"/>
    <w:rsid w:val="007E0BC7"/>
    <w:rsid w:val="008120A7"/>
    <w:rsid w:val="00982123"/>
    <w:rsid w:val="009C29DF"/>
    <w:rsid w:val="009C619A"/>
    <w:rsid w:val="00A43B98"/>
    <w:rsid w:val="00A46CA0"/>
    <w:rsid w:val="00A80E9C"/>
    <w:rsid w:val="00AE21F8"/>
    <w:rsid w:val="00B20B16"/>
    <w:rsid w:val="00BB64EE"/>
    <w:rsid w:val="00C83F9B"/>
    <w:rsid w:val="00C939AD"/>
    <w:rsid w:val="00DA4FCD"/>
    <w:rsid w:val="00E3710B"/>
    <w:rsid w:val="00E42CB8"/>
    <w:rsid w:val="00F11524"/>
    <w:rsid w:val="00F1777B"/>
    <w:rsid w:val="00FD1DEA"/>
    <w:rsid w:val="00FE0DCC"/>
    <w:rsid w:val="00FE7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7A41F9-F6E7-4821-B93E-3810D80C8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A4E6C"/>
    <w:pPr>
      <w:jc w:val="left"/>
    </w:pPr>
    <w:rPr>
      <w:rFonts w:ascii="Calibri" w:eastAsia="Times New Roman" w:hAnsi="Calibri" w:cs="Calibri"/>
      <w:sz w:val="22"/>
      <w:szCs w:val="22"/>
      <w:lang w:val="en-US"/>
    </w:rPr>
  </w:style>
  <w:style w:type="character" w:customStyle="1" w:styleId="a4">
    <w:name w:val="Без интервала Знак"/>
    <w:link w:val="a3"/>
    <w:uiPriority w:val="1"/>
    <w:locked/>
    <w:rsid w:val="002A4E6C"/>
    <w:rPr>
      <w:rFonts w:ascii="Calibri" w:eastAsia="Times New Roman" w:hAnsi="Calibri" w:cs="Calibri"/>
      <w:sz w:val="22"/>
      <w:szCs w:val="22"/>
      <w:lang w:val="en-US"/>
    </w:rPr>
  </w:style>
  <w:style w:type="table" w:styleId="a5">
    <w:name w:val="Table Grid"/>
    <w:basedOn w:val="a1"/>
    <w:uiPriority w:val="59"/>
    <w:rsid w:val="00C83F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C83F9B"/>
    <w:pPr>
      <w:jc w:val="left"/>
    </w:pPr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C83F9B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6"/>
    <w:uiPriority w:val="99"/>
    <w:semiHidden/>
    <w:unhideWhenUsed/>
    <w:rsid w:val="00C83F9B"/>
    <w:pPr>
      <w:jc w:val="left"/>
    </w:pPr>
    <w:rPr>
      <w:rFonts w:ascii="Tahoma" w:hAnsi="Tahoma" w:cs="Tahoma"/>
      <w:sz w:val="16"/>
      <w:szCs w:val="16"/>
    </w:rPr>
  </w:style>
  <w:style w:type="character" w:customStyle="1" w:styleId="10">
    <w:name w:val="Текст выноски Знак1"/>
    <w:basedOn w:val="a0"/>
    <w:uiPriority w:val="99"/>
    <w:semiHidden/>
    <w:rsid w:val="00C83F9B"/>
    <w:rPr>
      <w:rFonts w:ascii="Segoe UI" w:hAnsi="Segoe UI" w:cs="Segoe UI"/>
      <w:sz w:val="18"/>
      <w:szCs w:val="18"/>
    </w:rPr>
  </w:style>
  <w:style w:type="paragraph" w:styleId="a8">
    <w:name w:val="List Paragraph"/>
    <w:aliases w:val="List_Paragraph,Multilevel para_II,List Paragraph1,Абзац списка11"/>
    <w:basedOn w:val="a"/>
    <w:link w:val="a9"/>
    <w:uiPriority w:val="34"/>
    <w:qFormat/>
    <w:rsid w:val="00C83F9B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aa">
    <w:name w:val="Hyperlink"/>
    <w:basedOn w:val="a0"/>
    <w:uiPriority w:val="99"/>
    <w:unhideWhenUsed/>
    <w:rsid w:val="00C83F9B"/>
    <w:rPr>
      <w:color w:val="0563C1" w:themeColor="hyperlink"/>
      <w:u w:val="single"/>
    </w:rPr>
  </w:style>
  <w:style w:type="character" w:customStyle="1" w:styleId="ab">
    <w:name w:val="Верхний колонтитул Знак"/>
    <w:basedOn w:val="a0"/>
    <w:link w:val="ac"/>
    <w:uiPriority w:val="99"/>
    <w:rsid w:val="00C83F9B"/>
    <w:rPr>
      <w:rFonts w:asciiTheme="minorHAnsi" w:hAnsiTheme="minorHAnsi" w:cstheme="minorBidi"/>
      <w:sz w:val="22"/>
      <w:szCs w:val="22"/>
    </w:rPr>
  </w:style>
  <w:style w:type="paragraph" w:styleId="ac">
    <w:name w:val="header"/>
    <w:basedOn w:val="a"/>
    <w:link w:val="ab"/>
    <w:uiPriority w:val="99"/>
    <w:unhideWhenUsed/>
    <w:rsid w:val="00C83F9B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C83F9B"/>
  </w:style>
  <w:style w:type="paragraph" w:styleId="ad">
    <w:name w:val="footer"/>
    <w:basedOn w:val="a"/>
    <w:link w:val="ae"/>
    <w:uiPriority w:val="99"/>
    <w:unhideWhenUsed/>
    <w:rsid w:val="00C83F9B"/>
    <w:pPr>
      <w:tabs>
        <w:tab w:val="center" w:pos="4677"/>
        <w:tab w:val="right" w:pos="9355"/>
      </w:tabs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C83F9B"/>
    <w:rPr>
      <w:rFonts w:asciiTheme="minorHAnsi" w:hAnsiTheme="minorHAnsi" w:cstheme="minorBidi"/>
      <w:sz w:val="22"/>
      <w:szCs w:val="22"/>
    </w:rPr>
  </w:style>
  <w:style w:type="paragraph" w:customStyle="1" w:styleId="ConsPlusTitle">
    <w:name w:val="ConsPlusTitle"/>
    <w:rsid w:val="00FD1DEA"/>
    <w:pPr>
      <w:widowControl w:val="0"/>
      <w:autoSpaceDE w:val="0"/>
      <w:autoSpaceDN w:val="0"/>
      <w:adjustRightInd w:val="0"/>
      <w:jc w:val="left"/>
    </w:pPr>
    <w:rPr>
      <w:rFonts w:eastAsia="Times New Roman"/>
      <w:b/>
      <w:bCs/>
      <w:sz w:val="24"/>
      <w:szCs w:val="24"/>
      <w:lang w:eastAsia="ru-RU"/>
    </w:rPr>
  </w:style>
  <w:style w:type="character" w:customStyle="1" w:styleId="a9">
    <w:name w:val="Абзац списка Знак"/>
    <w:aliases w:val="List_Paragraph Знак,Multilevel para_II Знак,List Paragraph1 Знак,Абзац списка11 Знак"/>
    <w:link w:val="a8"/>
    <w:uiPriority w:val="34"/>
    <w:locked/>
    <w:rsid w:val="00FD1DEA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87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65.7</c:v>
                </c:pt>
                <c:pt idx="1">
                  <c:v>63.2</c:v>
                </c:pt>
                <c:pt idx="2">
                  <c:v>80.900000000000006</c:v>
                </c:pt>
                <c:pt idx="3">
                  <c:v>60.9</c:v>
                </c:pt>
                <c:pt idx="4">
                  <c:v>64.099999999999994</c:v>
                </c:pt>
                <c:pt idx="5">
                  <c:v>56.9</c:v>
                </c:pt>
                <c:pt idx="6">
                  <c:v>63.3</c:v>
                </c:pt>
                <c:pt idx="7">
                  <c:v>58</c:v>
                </c:pt>
                <c:pt idx="8">
                  <c:v>74.3</c:v>
                </c:pt>
                <c:pt idx="9">
                  <c:v>55.1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500-4839-8884-903F6EFCE63E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71</c:v>
                </c:pt>
                <c:pt idx="1">
                  <c:v>69.400000000000006</c:v>
                </c:pt>
                <c:pt idx="2">
                  <c:v>79.2</c:v>
                </c:pt>
                <c:pt idx="3">
                  <c:v>68.3</c:v>
                </c:pt>
                <c:pt idx="4">
                  <c:v>71.2</c:v>
                </c:pt>
                <c:pt idx="5">
                  <c:v>73.900000000000006</c:v>
                </c:pt>
                <c:pt idx="6">
                  <c:v>76.5</c:v>
                </c:pt>
                <c:pt idx="7">
                  <c:v>63.8</c:v>
                </c:pt>
                <c:pt idx="8">
                  <c:v>76.599999999999994</c:v>
                </c:pt>
                <c:pt idx="9">
                  <c:v>54.8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500-4839-8884-903F6EFCE63E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D500-4839-8884-903F6EFCE63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3610496"/>
        <c:axId val="154771456"/>
      </c:barChart>
      <c:catAx>
        <c:axId val="15361049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54771456"/>
        <c:crosses val="autoZero"/>
        <c:auto val="1"/>
        <c:lblAlgn val="ctr"/>
        <c:lblOffset val="100"/>
        <c:noMultiLvlLbl val="0"/>
      </c:catAx>
      <c:valAx>
        <c:axId val="15477145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536104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осень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Лист1!$B$2:$B$11</c:f>
              <c:numCache>
                <c:formatCode>General</c:formatCode>
                <c:ptCount val="10"/>
                <c:pt idx="0">
                  <c:v>27.3</c:v>
                </c:pt>
                <c:pt idx="1">
                  <c:v>27.9</c:v>
                </c:pt>
                <c:pt idx="2">
                  <c:v>46.6</c:v>
                </c:pt>
                <c:pt idx="3">
                  <c:v>16.8</c:v>
                </c:pt>
                <c:pt idx="4">
                  <c:v>24.1</c:v>
                </c:pt>
                <c:pt idx="5">
                  <c:v>21</c:v>
                </c:pt>
                <c:pt idx="6">
                  <c:v>18.8</c:v>
                </c:pt>
                <c:pt idx="7">
                  <c:v>13.7</c:v>
                </c:pt>
                <c:pt idx="8">
                  <c:v>48.3</c:v>
                </c:pt>
                <c:pt idx="9">
                  <c:v>10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394-42E6-B79F-B4BC7C6588C5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весна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Лист1!$C$2:$C$11</c:f>
              <c:numCache>
                <c:formatCode>General</c:formatCode>
                <c:ptCount val="10"/>
                <c:pt idx="0">
                  <c:v>32.200000000000003</c:v>
                </c:pt>
                <c:pt idx="1">
                  <c:v>35.5</c:v>
                </c:pt>
                <c:pt idx="2">
                  <c:v>66.2</c:v>
                </c:pt>
                <c:pt idx="3">
                  <c:v>25</c:v>
                </c:pt>
                <c:pt idx="4">
                  <c:v>29.6</c:v>
                </c:pt>
                <c:pt idx="5">
                  <c:v>27.6</c:v>
                </c:pt>
                <c:pt idx="6">
                  <c:v>24.8</c:v>
                </c:pt>
                <c:pt idx="7">
                  <c:v>27</c:v>
                </c:pt>
                <c:pt idx="8">
                  <c:v>44</c:v>
                </c:pt>
                <c:pt idx="9">
                  <c:v>18.899999999999999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6394-42E6-B79F-B4BC7C6588C5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Лист1!$A$2:$A$11</c:f>
              <c:strCache>
                <c:ptCount val="10"/>
                <c:pt idx="0">
                  <c:v>математика</c:v>
                </c:pt>
                <c:pt idx="1">
                  <c:v>русский язык</c:v>
                </c:pt>
                <c:pt idx="2">
                  <c:v>окруж. Мир</c:v>
                </c:pt>
                <c:pt idx="3">
                  <c:v>биология</c:v>
                </c:pt>
                <c:pt idx="4">
                  <c:v>история</c:v>
                </c:pt>
                <c:pt idx="5">
                  <c:v>обществознание</c:v>
                </c:pt>
                <c:pt idx="6">
                  <c:v>география</c:v>
                </c:pt>
                <c:pt idx="7">
                  <c:v>физика</c:v>
                </c:pt>
                <c:pt idx="8">
                  <c:v>химия</c:v>
                </c:pt>
                <c:pt idx="9">
                  <c:v>английский язык</c:v>
                </c:pt>
              </c:strCache>
            </c:strRef>
          </c:cat>
          <c:val>
            <c:numRef>
              <c:f>Лист1!$D$2:$D$11</c:f>
              <c:numCache>
                <c:formatCode>General</c:formatCode>
                <c:ptCount val="10"/>
              </c:numCache>
            </c:numRef>
          </c:val>
          <c:extLst>
            <c:ext xmlns:c16="http://schemas.microsoft.com/office/drawing/2014/chart" uri="{C3380CC4-5D6E-409C-BE32-E72D297353CC}">
              <c16:uniqueId val="{00000002-6394-42E6-B79F-B4BC7C6588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18973568"/>
        <c:axId val="118975104"/>
      </c:barChart>
      <c:catAx>
        <c:axId val="11897356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18975104"/>
        <c:crosses val="autoZero"/>
        <c:auto val="1"/>
        <c:lblAlgn val="ctr"/>
        <c:lblOffset val="100"/>
        <c:noMultiLvlLbl val="0"/>
      </c:catAx>
      <c:valAx>
        <c:axId val="11897510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1897356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6CC769-9946-4836-87B1-5B44925D4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3518</Words>
  <Characters>20053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2021-07-22T03:59:00Z</dcterms:created>
  <dcterms:modified xsi:type="dcterms:W3CDTF">2021-07-22T05:19:00Z</dcterms:modified>
</cp:coreProperties>
</file>